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Ordonez Beatrice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195 BROADWAY, 27TH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Payoneer Global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PAYO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12,321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2,915,569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solely to cover the Reporting Person's tax obligation arising from the settlement of vested restricted stock units and does not represent an open market sale.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Anna Bochkareva,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9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Beatrice</w:t>
        <w:tab/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Ordonez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84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2088" TargetMode="External"/><Relationship Id="rId14" Type="http://schemas.openxmlformats.org/officeDocument/2006/relationships/hyperlink" Target="http://www.sec.gov/cgi-bin/browse-edgar?action=getcompany&amp;CIK=00018458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2026-05-19T19:49:51Z</dcterms:created>
  <dcterms:modified xsi:type="dcterms:W3CDTF">2026-05-19T19:49:51Z</dcterms:modified>
</cp:coreProperties>
</file>