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Filed under Rule 425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Act of 1933,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and deemed filed under Rule 14a-12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of the Securities Exchange Act of 1934, as amended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73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Filing by: New Starship Parent,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Subject Company: FTAC Olympus Acquisition Corp.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 File No.: 001-39469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-705485</wp:posOffset>
            </wp:positionH>
            <wp:positionV relativeFrom="paragraph">
              <wp:posOffset>142875</wp:posOffset>
            </wp:positionV>
            <wp:extent cx="7132320" cy="77323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20"/>
          </w:cols>
          <w:pgMar w:left="1440" w:top="468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7323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73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745807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458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2021-02-18T15:27:34Z</dcterms:created>
  <dcterms:modified xsi:type="dcterms:W3CDTF">2021-02-18T15:27:34Z</dcterms:modified>
</cp:coreProperties>
</file>