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ayo-20250331x10q.htm"/>
        <w:bookmarkStart w:id="1" w:name="kspayo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 w:name="_8daef1a6_110d_4221_887b_6cf08d8c1ade"/>
      <w:bookmarkEnd w:id="2"/>
      <w:r>
        <w:rPr/>
        <w:t>​</w:t>
      </w:r>
    </w:p>
    <w:p>
      <w:pPr>
        <w:pStyle w:val="TextBody"/>
        <w:pBdr>
          <w:top w:val="single" w:sz="24" w:space="1" w:color="000000"/>
          <w:bottom w:val="single" w:sz="2" w:space="1" w:color="000000"/>
        </w:pBdr>
        <w:bidi w:val="0"/>
        <w:spacing w:before="0" w:after="8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60"/>
        <w:ind w:left="0" w:right="0" w:hanging="0"/>
        <w:jc w:val="left"/>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60"/>
        <w:ind w:left="0" w:right="0" w:hanging="0"/>
        <w:jc w:val="left"/>
        <w:rPr>
          <w:rFonts w:ascii="Times New Roman;Times;serif" w:hAnsi="Times New Roman;Times;serif"/>
          <w:b/>
          <w:sz w:val="16"/>
        </w:rPr>
      </w:pPr>
      <w:r>
        <w:rPr>
          <w:rFonts w:ascii="Times New Roman;Times;serif" w:hAnsi="Times New Roman;Times;serif"/>
          <w:b/>
          <w:sz w:val="16"/>
        </w:rPr>
        <w:t>For the quarterly period ended March 31, 2025</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60"/>
        <w:ind w:left="0" w:right="0" w:hanging="0"/>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60"/>
        <w:ind w:left="0" w:right="0" w:hanging="0"/>
        <w:jc w:val="left"/>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60"/>
        <w:ind w:left="0" w:right="0" w:hanging="0"/>
        <w:jc w:val="center"/>
        <w:rPr/>
      </w:pPr>
      <w:r>
        <w:rPr/>
        <w:drawing>
          <wp:inline distT="0" distB="0" distL="0" distR="0">
            <wp:extent cx="3276600" cy="6400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76600" cy="640080"/>
                    </a:xfrm>
                    <a:prstGeom prst="rect">
                      <a:avLst/>
                    </a:prstGeom>
                  </pic:spPr>
                </pic:pic>
              </a:graphicData>
            </a:graphic>
          </wp:inline>
        </w:drawing>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Payoneer Global Inc.</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Yw-1fg6C70SRddlt_hiurQ_8_0"/>
      <w:bookmarkStart w:id="4" w:name="Tc_awdicJNKf0Kf_SqghkEgxA_7_0"/>
      <w:bookmarkStart w:id="5" w:name="Tc_UYWrtv4JxkapbXmElUY2kQ_6_0"/>
      <w:bookmarkStart w:id="6" w:name="Tc_0bz-_8LrWUi567CDVzOzMQ_5_1"/>
      <w:bookmarkStart w:id="7" w:name="Tc_7MOvbjdep0mFWRw-FuMXmA_3_1"/>
      <w:bookmarkStart w:id="8" w:name="Tc_wUvb6ojvw0itDI3kADwj8A_2_1"/>
      <w:bookmarkStart w:id="9" w:name="Tc_fKg3SVavhU-ADBgXQOsd2A_1_2"/>
      <w:bookmarkStart w:id="10" w:name="Tc_QhS67gb4k0CMJVhtuptYfg_1_1"/>
      <w:bookmarkStart w:id="11" w:name="Tc_CcGqeREWlEqtJHesKFWKHQ_1_0"/>
      <w:bookmarkStart w:id="12" w:name="_92efc82c_6b9b_40bb_a28d_ccb5fcf4f840"/>
      <w:bookmarkStart w:id="13" w:name="Tc_Yw-1fg6C70SRddlt_hiurQ_8_0"/>
      <w:bookmarkStart w:id="14" w:name="Tc_awdicJNKf0Kf_SqghkEgxA_7_0"/>
      <w:bookmarkStart w:id="15" w:name="Tc_UYWrtv4JxkapbXmElUY2kQ_6_0"/>
      <w:bookmarkStart w:id="16" w:name="Tc_0bz-_8LrWUi567CDVzOzMQ_5_1"/>
      <w:bookmarkStart w:id="17" w:name="Tc_7MOvbjdep0mFWRw-FuMXmA_3_1"/>
      <w:bookmarkStart w:id="18" w:name="Tc_wUvb6ojvw0itDI3kADwj8A_2_1"/>
      <w:bookmarkStart w:id="19" w:name="Tc_fKg3SVavhU-ADBgXQOsd2A_1_2"/>
      <w:bookmarkStart w:id="20" w:name="Tc_QhS67gb4k0CMJVhtuptYfg_1_1"/>
      <w:bookmarkStart w:id="21" w:name="Tc_CcGqeREWlEqtJHesKFWKHQ_1_0"/>
      <w:bookmarkStart w:id="22" w:name="_92efc82c_6b9b_40bb_a28d_ccb5fcf4f840"/>
      <w:bookmarkEnd w:id="13"/>
      <w:bookmarkEnd w:id="14"/>
      <w:bookmarkEnd w:id="15"/>
      <w:bookmarkEnd w:id="16"/>
      <w:bookmarkEnd w:id="17"/>
      <w:bookmarkEnd w:id="18"/>
      <w:bookmarkEnd w:id="19"/>
      <w:bookmarkEnd w:id="20"/>
      <w:bookmarkEnd w:id="21"/>
      <w:bookmarkEnd w:id="22"/>
    </w:p>
    <w:tbl>
      <w:tblPr>
        <w:tblW w:w="6723" w:type="dxa"/>
        <w:jc w:val="left"/>
        <w:tblInd w:w="0" w:type="dxa"/>
        <w:tblLayout w:type="fixed"/>
        <w:tblCellMar>
          <w:top w:w="0" w:type="dxa"/>
          <w:left w:w="0" w:type="dxa"/>
          <w:bottom w:w="0" w:type="dxa"/>
          <w:right w:w="0" w:type="dxa"/>
        </w:tblCellMar>
      </w:tblPr>
      <w:tblGrid>
        <w:gridCol w:w="2131"/>
        <w:gridCol w:w="2836"/>
        <w:gridCol w:w="1756"/>
      </w:tblGrid>
      <w:tr>
        <w:trPr/>
        <w:tc>
          <w:tcPr>
            <w:tcW w:w="21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8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001-40547</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86-1778671</w:t>
            </w:r>
          </w:p>
        </w:tc>
      </w:tr>
      <w:tr>
        <w:trPr/>
        <w:tc>
          <w:tcPr>
            <w:tcW w:w="2131" w:type="dxa"/>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w:t>
            </w:r>
          </w:p>
        </w:tc>
        <w:tc>
          <w:tcPr>
            <w:tcW w:w="2836" w:type="dxa"/>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(Commission File Number)</w:t>
            </w:r>
          </w:p>
        </w:tc>
        <w:tc>
          <w:tcPr>
            <w:tcW w:w="1756" w:type="dxa"/>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c>
      </w:tr>
      <w:tr>
        <w:trPr/>
        <w:tc>
          <w:tcPr>
            <w:tcW w:w="2131" w:type="dxa"/>
            <w:tcBorders/>
            <w:vAlign w:val="center"/>
          </w:tcPr>
          <w:p>
            <w:pPr>
              <w:pStyle w:val="TableContents"/>
              <w:bidi w:val="0"/>
              <w:spacing w:before="0" w:after="0"/>
              <w:ind w:left="0" w:right="0" w:hanging="0"/>
              <w:jc w:val="center"/>
              <w:rPr/>
            </w:pPr>
            <w:r>
              <w:rPr/>
              <w:t>​</w:t>
            </w:r>
          </w:p>
        </w:tc>
        <w:tc>
          <w:tcPr>
            <w:tcW w:w="283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195 Broadway, 27</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r>
              <w:rPr>
                <w:rFonts w:ascii="Times New Roman;Times;serif" w:hAnsi="Times New Roman;Times;serif"/>
                <w:sz w:val="16"/>
              </w:rPr>
              <w:br/>
            </w:r>
            <w:r>
              <w:rPr>
                <w:rFonts w:ascii="Times New Roman;Times;serif" w:hAnsi="Times New Roman;Times;serif"/>
                <w:b/>
                <w:sz w:val="16"/>
              </w:rPr>
              <w:t>New York, New York, 10007</w:t>
            </w:r>
          </w:p>
        </w:tc>
        <w:tc>
          <w:tcPr>
            <w:tcW w:w="1756" w:type="dxa"/>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center"/>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br/>
              <w:t>including zip code)</w:t>
            </w:r>
          </w:p>
        </w:tc>
        <w:tc>
          <w:tcPr>
            <w:tcW w:w="1756" w:type="dxa"/>
            <w:tcBorders/>
            <w:vAlign w:val="center"/>
          </w:tcPr>
          <w:p>
            <w:pPr>
              <w:pStyle w:val="TableContents"/>
              <w:bidi w:val="0"/>
              <w:spacing w:before="0" w:after="0"/>
              <w:ind w:left="0" w:right="0" w:hanging="0"/>
              <w:jc w:val="center"/>
              <w:rPr/>
            </w:pPr>
            <w:r>
              <w:rPr/>
              <w:t>​</w:t>
            </w:r>
          </w:p>
        </w:tc>
      </w:tr>
      <w:tr>
        <w:trPr/>
        <w:tc>
          <w:tcPr>
            <w:tcW w:w="6723" w:type="dxa"/>
            <w:gridSpan w:val="3"/>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(212) 600-9272</w:t>
            </w:r>
          </w:p>
        </w:tc>
        <w:tc>
          <w:tcPr>
            <w:tcW w:w="1756" w:type="dxa"/>
            <w:tcBorders/>
            <w:vAlign w:val="center"/>
          </w:tcPr>
          <w:p>
            <w:pPr>
              <w:pStyle w:val="TableContents"/>
              <w:bidi w:val="0"/>
              <w:spacing w:before="0" w:after="0"/>
              <w:ind w:left="0" w:right="0" w:hanging="0"/>
              <w:jc w:val="left"/>
              <w:rPr/>
            </w:pPr>
            <w:r>
              <w:rPr/>
              <w:t>​</w:t>
            </w:r>
          </w:p>
        </w:tc>
      </w:tr>
      <w:tr>
        <w:trPr/>
        <w:tc>
          <w:tcPr>
            <w:tcW w:w="6723" w:type="dxa"/>
            <w:gridSpan w:val="3"/>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tc>
      </w:tr>
      <w:tr>
        <w:trPr/>
        <w:tc>
          <w:tcPr>
            <w:tcW w:w="672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tc>
      </w:tr>
      <w:tr>
        <w:trPr/>
        <w:tc>
          <w:tcPr>
            <w:tcW w:w="6723" w:type="dxa"/>
            <w:gridSpan w:val="3"/>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RMp3983lkk6HbX2v8ctnAw_0_4"/>
      <w:bookmarkStart w:id="24" w:name="Tc_RnzVca2_vEOLEiz53XAYbQ_0_2"/>
      <w:bookmarkStart w:id="25" w:name="Tc_9Y92U9rfwUCnYmUqDA_QHA_0_0"/>
      <w:bookmarkStart w:id="26" w:name="_c412b360_b964_4795_98e8_69bdbb81c0fb"/>
      <w:bookmarkStart w:id="27" w:name="Tc_RMp3983lkk6HbX2v8ctnAw_0_4"/>
      <w:bookmarkStart w:id="28" w:name="Tc_RnzVca2_vEOLEiz53XAYbQ_0_2"/>
      <w:bookmarkStart w:id="29" w:name="Tc_9Y92U9rfwUCnYmUqDA_QHA_0_0"/>
      <w:bookmarkStart w:id="30" w:name="_c412b360_b964_4795_98e8_69bdbb81c0fb"/>
      <w:bookmarkEnd w:id="27"/>
      <w:bookmarkEnd w:id="28"/>
      <w:bookmarkEnd w:id="29"/>
      <w:bookmarkEnd w:id="30"/>
    </w:p>
    <w:tbl>
      <w:tblPr>
        <w:tblW w:w="7075" w:type="dxa"/>
        <w:jc w:val="left"/>
        <w:tblInd w:w="0" w:type="dxa"/>
        <w:tblLayout w:type="fixed"/>
        <w:tblCellMar>
          <w:top w:w="0" w:type="dxa"/>
          <w:left w:w="0" w:type="dxa"/>
          <w:bottom w:w="28" w:type="dxa"/>
          <w:right w:w="0" w:type="dxa"/>
        </w:tblCellMar>
      </w:tblPr>
      <w:tblGrid>
        <w:gridCol w:w="2491"/>
        <w:gridCol w:w="326"/>
        <w:gridCol w:w="1231"/>
        <w:gridCol w:w="326"/>
        <w:gridCol w:w="2701"/>
      </w:tblGrid>
      <w:tr>
        <w:trPr/>
        <w:tc>
          <w:tcPr>
            <w:tcW w:w="2491"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tcMar>
              <w:bottom w:w="0" w:type="dxa"/>
            </w:tcMar>
            <w:vAlign w:val="center"/>
          </w:tcPr>
          <w:p>
            <w:pPr>
              <w:pStyle w:val="TableContents"/>
              <w:bidi w:val="0"/>
              <w:spacing w:before="0" w:after="60"/>
              <w:ind w:left="0" w:right="0" w:hanging="0"/>
              <w:jc w:val="center"/>
              <w:rPr/>
            </w:pPr>
            <w:r>
              <w:rPr/>
              <w:t>    </w:t>
            </w:r>
          </w:p>
        </w:tc>
        <w:tc>
          <w:tcPr>
            <w:tcW w:w="1231"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26" w:type="dxa"/>
            <w:tcBorders/>
            <w:tcMar>
              <w:bottom w:w="0" w:type="dxa"/>
            </w:tcMar>
            <w:vAlign w:val="center"/>
          </w:tcPr>
          <w:p>
            <w:pPr>
              <w:pStyle w:val="TableContents"/>
              <w:bidi w:val="0"/>
              <w:spacing w:before="0" w:after="60"/>
              <w:ind w:left="0" w:right="0" w:hanging="0"/>
              <w:jc w:val="center"/>
              <w:rPr/>
            </w:pPr>
            <w:r>
              <w:rPr/>
              <w:t>    </w:t>
            </w:r>
          </w:p>
        </w:tc>
        <w:tc>
          <w:tcPr>
            <w:tcW w:w="2701"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2491" w:type="dxa"/>
            <w:tcBorders>
              <w:top w:val="single" w:sz="2" w:space="0" w:color="000000"/>
            </w:tcBorders>
            <w:tcMar>
              <w:top w:w="28" w:type="dxa"/>
              <w:bottom w:w="0" w:type="dxa"/>
            </w:tcMar>
            <w:vAlign w:val="center"/>
          </w:tcPr>
          <w:p>
            <w:pPr>
              <w:pStyle w:val="TableContents"/>
              <w:bidi w:val="0"/>
              <w:spacing w:before="0" w:after="60"/>
              <w:ind w:left="0" w:right="0" w:hanging="0"/>
              <w:jc w:val="left"/>
              <w:rPr>
                <w:rFonts w:ascii="Times New Roman;Times;serif" w:hAnsi="Times New Roman;Times;serif"/>
                <w:sz w:val="14"/>
              </w:rPr>
            </w:pPr>
            <w:r>
              <w:rPr>
                <w:rFonts w:ascii="Times New Roman;Times;serif" w:hAnsi="Times New Roman;Times;serif"/>
                <w:sz w:val="14"/>
              </w:rPr>
              <w:t>Common Stock, par value $0.01 per share</w:t>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1231" w:type="dxa"/>
            <w:tcBorders>
              <w:top w:val="single" w:sz="2" w:space="0" w:color="000000"/>
            </w:tcBorders>
            <w:tcMar>
              <w:top w:w="28" w:type="dxa"/>
              <w:bottom w:w="0" w:type="dxa"/>
            </w:tcMar>
            <w:vAlign w:val="center"/>
          </w:tcPr>
          <w:p>
            <w:pPr>
              <w:pStyle w:val="TableContents"/>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PAYO</w:t>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2701" w:type="dxa"/>
            <w:tcBorders>
              <w:top w:val="single" w:sz="2" w:space="0" w:color="000000"/>
            </w:tcBorders>
            <w:tcMar>
              <w:top w:w="28" w:type="dxa"/>
              <w:bottom w:w="0" w:type="dxa"/>
            </w:tcMar>
            <w:vAlign w:val="center"/>
          </w:tcPr>
          <w:p>
            <w:pPr>
              <w:pStyle w:val="TableContents"/>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r>
        <w:trPr/>
        <w:tc>
          <w:tcPr>
            <w:tcW w:w="24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123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2701"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577" w:type="dxa"/>
        <w:jc w:val="left"/>
        <w:tblInd w:w="0" w:type="dxa"/>
        <w:tblLayout w:type="fixed"/>
        <w:tblCellMar>
          <w:top w:w="0" w:type="dxa"/>
          <w:left w:w="0" w:type="dxa"/>
          <w:bottom w:w="0" w:type="dxa"/>
          <w:right w:w="0" w:type="dxa"/>
        </w:tblCellMar>
      </w:tblPr>
      <w:tblGrid>
        <w:gridCol w:w="2281"/>
        <w:gridCol w:w="2296"/>
      </w:tblGrid>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c>
          <w:tcPr>
            <w:tcW w:w="22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8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shell company (as defined in Rule 12b-2 of the Exchange Act).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As of May 1, 2025, the registrant had 361,671,200 shares of common stock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1" w:name="_ee4e0532_46e7_45bc_ab5f_bfa447579df8"/>
      <w:bookmarkEnd w:id="31"/>
      <w:r>
        <w:rPr>
          <w:rFonts w:ascii="Times New Roman;Times;serif" w:hAnsi="Times New Roman;Times;serif"/>
          <w:b/>
          <w:sz w:val="20"/>
        </w:rPr>
        <w:t>Payoneer Global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Period Ended March 31, 2025</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552" w:type="dxa"/>
        <w:jc w:val="left"/>
        <w:tblInd w:w="0" w:type="dxa"/>
        <w:tblLayout w:type="fixed"/>
        <w:tblCellMar>
          <w:top w:w="0" w:type="dxa"/>
          <w:left w:w="0" w:type="dxa"/>
          <w:bottom w:w="0" w:type="dxa"/>
          <w:right w:w="0" w:type="dxa"/>
        </w:tblCellMar>
      </w:tblPr>
      <w:tblGrid>
        <w:gridCol w:w="7981"/>
        <w:gridCol w:w="571"/>
      </w:tblGrid>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PARTIFINANCIALINFORMATION_327691">
              <w:r>
                <w:rPr>
                  <w:rStyle w:val="InternetLink"/>
                  <w:rFonts w:ascii="Times New Roman;Times;serif" w:hAnsi="Times New Roman;Times;serif"/>
                  <w:b/>
                  <w:i w:val="false"/>
                  <w:caps w:val="false"/>
                  <w:smallCaps w:val="false"/>
                  <w:sz w:val="20"/>
                </w:rPr>
                <w:t>PART I. FINANCIAL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PARTIFINANCIALINFORMATION_327691">
              <w:r>
                <w:rPr>
                  <w:rStyle w:val="InternetLink"/>
                  <w:rFonts w:ascii="Times New Roman;Times;serif" w:hAnsi="Times New Roman;Times;serif"/>
                  <w:b w:val="false"/>
                  <w:i w:val="false"/>
                  <w:caps w:val="false"/>
                  <w:smallCaps w:val="false"/>
                  <w:sz w:val="20"/>
                </w:rPr>
                <w:t>Item 1. Financial Statements (Unaudited)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7981" w:type="dxa"/>
            <w:tcBorders/>
            <w:vAlign w:val="center"/>
          </w:tcPr>
          <w:p>
            <w:pPr>
              <w:pStyle w:val="TableContents"/>
              <w:bidi w:val="0"/>
              <w:spacing w:before="0" w:after="0"/>
              <w:ind w:left="0" w:right="0" w:hanging="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7981" w:type="dxa"/>
            <w:tcBorders/>
            <w:shd w:fill="CCEEFF" w:val="clear"/>
            <w:vAlign w:val="center"/>
          </w:tcPr>
          <w:p>
            <w:pPr>
              <w:pStyle w:val="TableContents"/>
              <w:bidi w:val="0"/>
              <w:spacing w:before="0" w:after="0"/>
              <w:ind w:left="0" w:right="0" w:hanging="0"/>
              <w:jc w:val="left"/>
              <w:rPr/>
            </w:pPr>
            <w:hyperlink w:anchor="CONDENSEDCONSOLIDATEDSTATEMENTSOFLOSSUNA">
              <w:r>
                <w:rPr>
                  <w:rStyle w:val="InternetLink"/>
                  <w:rFonts w:ascii="Times New Roman;Times;serif" w:hAnsi="Times New Roman;Times;serif"/>
                  <w:b w:val="false"/>
                  <w:i w:val="false"/>
                  <w:caps w:val="false"/>
                  <w:smallCaps w:val="false"/>
                  <w:sz w:val="20"/>
                </w:rPr>
                <w:t>Condensed consolidated statements of comprehensive income (Unaudited)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7981"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shareholders’ equity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7981"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r>
        <w:trPr/>
        <w:tc>
          <w:tcPr>
            <w:tcW w:w="7981" w:type="dxa"/>
            <w:tcBorders/>
            <w:vAlign w:val="center"/>
          </w:tcPr>
          <w:p>
            <w:pPr>
              <w:pStyle w:val="TableContents"/>
              <w:bidi w:val="0"/>
              <w:spacing w:before="0" w:after="0"/>
              <w:ind w:left="0" w:right="0" w:hanging="0"/>
              <w:jc w:val="left"/>
              <w:rPr/>
            </w:pPr>
            <w:hyperlink w:anchor="NOTE1GENERALOVERVIEW_579271">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798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79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r>
      <w:tr>
        <w:trPr/>
        <w:tc>
          <w:tcPr>
            <w:tcW w:w="7981" w:type="dxa"/>
            <w:tcBorders/>
            <w:shd w:fill="CCEEFF" w:val="clear"/>
            <w:vAlign w:val="center"/>
          </w:tcPr>
          <w:p>
            <w:pPr>
              <w:pStyle w:val="TableContents"/>
              <w:bidi w:val="0"/>
              <w:spacing w:before="0" w:after="0"/>
              <w:ind w:left="0" w:right="0" w:hanging="0"/>
              <w:jc w:val="left"/>
              <w:rPr/>
            </w:pPr>
            <w:hyperlink w:anchor="ITEM4CONTROLSANDPROCEDURES_304571">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PARTIIOTHERINFORMATION_675437">
              <w:r>
                <w:rPr>
                  <w:rStyle w:val="InternetLink"/>
                  <w:rFonts w:ascii="Times New Roman;Times;serif" w:hAnsi="Times New Roman;Times;serif"/>
                  <w:b/>
                  <w:i w:val="false"/>
                  <w:caps w:val="false"/>
                  <w:smallCaps w:val="false"/>
                  <w:sz w:val="20"/>
                </w:rPr>
                <w:t>PART II. - OTHER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ITEM1LEGALPROCEEDINGS_232152">
              <w:r>
                <w:rPr>
                  <w:rStyle w:val="InternetLink"/>
                  <w:rFonts w:ascii="Times New Roman;Times;serif" w:hAnsi="Times New Roman;Times;serif"/>
                  <w:b w:val="false"/>
                  <w:i w:val="false"/>
                  <w:caps w:val="false"/>
                  <w:smallCaps w:val="false"/>
                  <w:sz w:val="20"/>
                </w:rPr>
                <w:t>Item 1. Legal Proceedings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hyperlink w:anchor="ITEM1ARISKFACTORS_871288">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hyperlink w:anchor="ITEM3DEFAULTSUPONSENIORSECURITIES_170380">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7981" w:type="dxa"/>
            <w:tcBorders/>
            <w:shd w:fill="CCEEFF" w:val="clear"/>
            <w:vAlign w:val="center"/>
          </w:tcPr>
          <w:p>
            <w:pPr>
              <w:pStyle w:val="TableContents"/>
              <w:bidi w:val="0"/>
              <w:spacing w:before="0" w:after="0"/>
              <w:ind w:left="0" w:right="0" w:hanging="0"/>
              <w:jc w:val="left"/>
              <w:rPr/>
            </w:pPr>
            <w:hyperlink w:anchor="ITEM4MINESAFETYDISCLOSURES_320077">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7981" w:type="dxa"/>
            <w:tcBorders/>
            <w:vAlign w:val="center"/>
          </w:tcPr>
          <w:p>
            <w:pPr>
              <w:pStyle w:val="TableContents"/>
              <w:bidi w:val="0"/>
              <w:spacing w:before="0" w:after="0"/>
              <w:ind w:left="0" w:right="0" w:hanging="0"/>
              <w:jc w:val="left"/>
              <w:rPr/>
            </w:pPr>
            <w:hyperlink w:anchor="ITEM5OTHERINFORMATION_996230">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7981" w:type="dxa"/>
            <w:tcBorders/>
            <w:shd w:fill="CCEEFF" w:val="clear"/>
            <w:vAlign w:val="center"/>
          </w:tcPr>
          <w:p>
            <w:pPr>
              <w:pStyle w:val="TableContents"/>
              <w:bidi w:val="0"/>
              <w:spacing w:before="0" w:after="0"/>
              <w:ind w:left="0" w:right="0" w:hanging="0"/>
              <w:jc w:val="left"/>
              <w:rPr/>
            </w:pPr>
            <w:hyperlink w:anchor="ITEM6EXHIBITS_515975">
              <w:r>
                <w:rPr>
                  <w:rStyle w:val="InternetLink"/>
                  <w:rFonts w:ascii="Times New Roman;Times;serif" w:hAnsi="Times New Roman;Times;serif"/>
                  <w:b w:val="false"/>
                  <w:i w:val="false"/>
                  <w:caps w:val="false"/>
                  <w:smallCaps w:val="false"/>
                  <w:sz w:val="20"/>
                </w:rPr>
                <w:t>Item 6. Exhibits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7981"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c5e3580e_7ed4_42d5_a6c6_acec083b2b67"/>
      <w:bookmarkEnd w:id="33"/>
      <w:r>
        <w:rPr>
          <w:rFonts w:ascii="Times New Roman;Times;serif" w:hAnsi="Times New Roman;Times;serif"/>
          <w:b/>
          <w:sz w:val="20"/>
        </w:rPr>
        <w:t>CAUTIONARY STATEMENT ON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on Form 10-Q, including the information incorporated herein by reference, contains forward-looking statements within the meaning of the safe harbor provisions of the Private Securities Litigation Reform Act of 1995. In addition, any statements that refer to projections, forecasts or other characterizations of future events or circumstances, including any underlying assumptions, are forward-looking statements. Forward-looking statements are typically identified by words such as “anticipate,” “appear,” “approximate,” “believe,” “continue,” “could,” “estimate,” “expect,” “foresee,” “intends,” “may,” “might,” “plan,” “possible,” “potential,” “predict,” “project,” “seek,” “should,” “would” and other similar words and expressions (or the negative version of such words or expressions), but the absence of these words does not mean that a statement is not forward-looking.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forward-looking statements are based on the current expectations of Payoneer Global Inc.’s (“Payoneer”) management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(1) changes in applicable laws or regulations; (2) the possibility that Payoneer may be adversely affected by geopolitical events and conflicts, such as Israel’s ongoing conflicts in the Middle East, and other economic, business and/or competitive factors, such as changes in global trade policies (including the imposition of tariffs); (3) changes in the assumptions underlying Payoneer’s financial estimates; (4) the outcome of any known and/or unknown legal or regulatory proceedings; and (5) other factors, described under the heading “Risk Factors” discussed and identified in public filings made with the U.S. Securities and Exchange Commission (the “SEC”) by Payoneer.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Should one or more of these risks or uncertainties materialize or should any of the assumptions made by the management of Payoneer prove incorrect, actual results may vary in material respects from those projected in these forward-looking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All subsequent written and oral forward-looking statements concerning the matters addressed in this Quarterly Report on Form 10-Q and attributable to Payoneer or any person acting on its behalf are expressly qualified in their entirety by the cautionary statements contained or referred to in this Quarterly Report on Form 10-Q. Except to the extent required by applicable law or regulation, Payoneer undertakes no obligation to update these forward-looking statements to reflect events or circumstances after the date of this Quarterly Report on Form 10-Q or to reflect the occurrence of unanticipated events.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34" w:name="PARTIFINANCIALINFORMATION_327691"/>
      <w:bookmarkStart w:id="35" w:name="_7a82ce2e_363a_406b_bbc1_99e1b766a62f"/>
      <w:bookmarkEnd w:id="34"/>
      <w:bookmarkEnd w:id="35"/>
      <w:r>
        <w:rPr>
          <w:rFonts w:ascii="Times New Roman;Times;serif" w:hAnsi="Times New Roman;Times;serif"/>
          <w:b/>
          <w:sz w:val="20"/>
        </w:rPr>
        <w:t>PART I. FINANCIAL INFORMATION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QUARTERLY REPORT FOR THE PERIOD ENDED MARCH 31,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TABLE OF CONTENTS</w:t>
      </w:r>
    </w:p>
    <w:p>
      <w:pPr>
        <w:pStyle w:val="TextBody"/>
        <w:bidi w:val="0"/>
        <w:spacing w:before="0" w:after="200"/>
        <w:ind w:left="0" w:right="0" w:hanging="0"/>
        <w:jc w:val="left"/>
        <w:rPr/>
      </w:pPr>
      <w:r>
        <w:rPr/>
        <w:t>​</w:t>
      </w:r>
    </w:p>
    <w:tbl>
      <w:tblPr>
        <w:tblW w:w="8098" w:type="dxa"/>
        <w:jc w:val="left"/>
        <w:tblInd w:w="0" w:type="dxa"/>
        <w:tblLayout w:type="fixed"/>
        <w:tblCellMar>
          <w:top w:w="0" w:type="dxa"/>
          <w:left w:w="0" w:type="dxa"/>
          <w:bottom w:w="0" w:type="dxa"/>
          <w:right w:w="0" w:type="dxa"/>
        </w:tblCellMar>
      </w:tblPr>
      <w:tblGrid>
        <w:gridCol w:w="7261"/>
        <w:gridCol w:w="326"/>
        <w:gridCol w:w="511"/>
      </w:tblGrid>
      <w:tr>
        <w:trPr/>
        <w:tc>
          <w:tcPr>
            <w:tcW w:w="7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financial statements (unaudited) in thousands of U.S. dollars:</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7261" w:type="dxa"/>
            <w:tcBorders/>
            <w:vAlign w:val="center"/>
          </w:tcPr>
          <w:p>
            <w:pPr>
              <w:pStyle w:val="TableContents"/>
              <w:bidi w:val="0"/>
              <w:spacing w:before="0" w:after="0"/>
              <w:ind w:left="0" w:right="0" w:hanging="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7261" w:type="dxa"/>
            <w:tcBorders/>
            <w:shd w:fill="CCEEFF" w:val="clear"/>
            <w:vAlign w:val="center"/>
          </w:tcPr>
          <w:p>
            <w:pPr>
              <w:pStyle w:val="TableContents"/>
              <w:bidi w:val="0"/>
              <w:spacing w:before="0" w:after="0"/>
              <w:ind w:left="0" w:right="0" w:hanging="0"/>
              <w:jc w:val="left"/>
              <w:rPr/>
            </w:pPr>
            <w:hyperlink w:anchor="CONDENSEDCONSOLIDATEDSTATEMENTSOFLOSSUNA">
              <w:r>
                <w:rPr>
                  <w:rStyle w:val="InternetLink"/>
                  <w:rFonts w:ascii="Times New Roman;Times;serif" w:hAnsi="Times New Roman;Times;serif"/>
                  <w:b w:val="false"/>
                  <w:i w:val="false"/>
                  <w:caps w:val="false"/>
                  <w:smallCaps w:val="false"/>
                  <w:sz w:val="20"/>
                </w:rPr>
                <w:t xml:space="preserve">Condensed consolidated statements of comprehensive income (Unaudited) </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7261"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shareholders’ equity (Unaudited)</w:t>
              </w:r>
            </w:hyperlink>
          </w:p>
        </w:tc>
        <w:tc>
          <w:tcPr>
            <w:tcW w:w="326" w:type="dxa"/>
            <w:tcBorders/>
            <w:vAlign w:val="center"/>
          </w:tcPr>
          <w:p>
            <w:pPr>
              <w:pStyle w:val="TableContents"/>
              <w:bidi w:val="0"/>
              <w:spacing w:before="0" w:after="20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7261"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7261" w:type="dxa"/>
            <w:tcBorders/>
            <w:vAlign w:val="center"/>
          </w:tcPr>
          <w:p>
            <w:pPr>
              <w:pStyle w:val="TableContents"/>
              <w:bidi w:val="0"/>
              <w:spacing w:before="0" w:after="0"/>
              <w:ind w:left="0" w:right="0" w:hanging="0"/>
              <w:jc w:val="left"/>
              <w:rPr/>
            </w:pPr>
            <w:hyperlink w:anchor="NOTE1GENERALOVERVIEW_579271">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26" w:type="dxa"/>
            <w:tcBorders/>
            <w:vAlign w:val="center"/>
          </w:tcPr>
          <w:p>
            <w:pPr>
              <w:pStyle w:val="TableContents"/>
              <w:bidi w:val="0"/>
              <w:spacing w:before="0" w:after="20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36" w:name="CONDENSEDCONSOLIDATEDBALANCESHEETSUNAUDI"/>
      <w:bookmarkStart w:id="37" w:name="_cb57e31d_928d_45b6_9d15_f527e816ac1c"/>
      <w:bookmarkEnd w:id="36"/>
      <w:bookmarkEnd w:id="37"/>
      <w:r>
        <w:rPr>
          <w:rFonts w:ascii="Times New Roman;Times;serif" w:hAnsi="Times New Roman;Times;serif"/>
          <w:sz w:val="20"/>
        </w:rPr>
        <w:t xml:space="preserve">CONDENSED CONSOLIDATED BALANCE SHEETS (UNAUDITED)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8" w:name="Tc_5mNMv26hDUiArBXfA2-dTg_43_5"/>
      <w:bookmarkStart w:id="39" w:name="Tc_bNgonOwIi0C6Qe_kciahQQ_43_2"/>
      <w:bookmarkStart w:id="40" w:name="Tc_MkACXHqKzUqtfFH0q4PdCA_43_0"/>
      <w:bookmarkStart w:id="41" w:name="Tc_6iI6MbH4gE6EaLpbiFrwGw_42_0"/>
      <w:bookmarkStart w:id="42" w:name="Tc_c-ANA2-goEKAtMREaFA3Pw_41_0"/>
      <w:bookmarkStart w:id="43" w:name="Tc_GSo3vVJF70eFkw45w6rR7w_40_0"/>
      <w:bookmarkStart w:id="44" w:name="Tc_P2AxEixmzkOThFy0tnLLVg_39_0"/>
      <w:bookmarkStart w:id="45" w:name="Tc_vLeBrEDkvEGzy3aOAAbRgg_38_0"/>
      <w:bookmarkStart w:id="46" w:name="Tc_KqT9ErtakES33LeCG5hoLA_37_0"/>
      <w:bookmarkStart w:id="47" w:name="_4db8c229_5dfa_444d_983f_c63a90531591_3"/>
      <w:bookmarkStart w:id="48" w:name="_4db8c229_5dfa_444d_983f_c63a90531591_2"/>
      <w:bookmarkStart w:id="49" w:name="_4db8c229_5dfa_444d_983f_c63a90531591"/>
      <w:bookmarkStart w:id="50" w:name="Tc_lAYfq_kenU-zg3bfJMx7Rg_36_0"/>
      <w:bookmarkStart w:id="51" w:name="Tc_vjxZEa7kbEuEcxGPGSgLDQ_35_0"/>
      <w:bookmarkStart w:id="52" w:name="Tc_KBSNy9zMHke2mTFjFyds3A_33_0"/>
      <w:bookmarkStart w:id="53" w:name="Tc_Vgn-Wit7_UOErlOvzHW09w_32_0"/>
      <w:bookmarkStart w:id="54" w:name="Tc_x0HHJqxs80a2-G_uyUGVQQ_31_0"/>
      <w:bookmarkStart w:id="55" w:name="Tc_LCznshmw4UeNOMP7FCZVlQ_30_0"/>
      <w:bookmarkStart w:id="56" w:name="Tc_syODVsmLUkiwyrVCSwwyng_29_0"/>
      <w:bookmarkStart w:id="57" w:name="Tc_b0EE5FzxXEmNA4s2wr48iA_28_0"/>
      <w:bookmarkStart w:id="58" w:name="Tc_VFHRZZ5PrUSE0Elo3yk5JQ_27_0"/>
      <w:bookmarkStart w:id="59" w:name="Tc_CPY0WKhXcka8IRznC2DByQ_26_0"/>
      <w:bookmarkStart w:id="60" w:name="Tc_IViNLjof_k2h6vFhERSCRA_25_5"/>
      <w:bookmarkStart w:id="61" w:name="Tc_CHUqDtLqr0WX37_nklDytg_25_2"/>
      <w:bookmarkStart w:id="62" w:name="Tc_yohTklFlbUC04araMR7D7A_25_0"/>
      <w:bookmarkStart w:id="63" w:name="Tc_eHz_hIDnpk-odK52CNOFdw_24_0"/>
      <w:bookmarkStart w:id="64" w:name="Tc_FJGkTMMA-0SiksfS1Qn0Sw_23_0"/>
      <w:bookmarkStart w:id="65" w:name="Tc_oy_HJsxagkKMYprNNMfkXQ_22_5"/>
      <w:bookmarkStart w:id="66" w:name="Tc_cEPVb07DXEup4P6QSCQ_sA_22_2"/>
      <w:bookmarkStart w:id="67" w:name="Tc_0m_W1h2ZbkyGRWYSNbn9KQ_22_0"/>
      <w:bookmarkStart w:id="68" w:name="Tc_3yoPZjrTVEeRHEkphdy3rA_21_0"/>
      <w:bookmarkStart w:id="69" w:name="Tc_BW2vVho9kUKq5sn_bXw6Eg_20_0"/>
      <w:bookmarkStart w:id="70" w:name="Tc_Ey24JZX-VUOr_j3V4GzYmA_19_0"/>
      <w:bookmarkStart w:id="71" w:name="Tc_iJmV5FvSWUGdJT5ZRQrJ6Q_18_0"/>
      <w:bookmarkStart w:id="72" w:name="Tc_mYzvpiQ4GE-xQvRXpXB94A_17_0"/>
      <w:bookmarkStart w:id="73" w:name="Tc_PeKgESMOd0-gn3eWXTU3fw_16_0"/>
      <w:bookmarkStart w:id="74" w:name="Tc_k-UZpOprlEOVidtVd7G5Ug_15_0"/>
      <w:bookmarkStart w:id="75" w:name="Tc_OrrXr3NmPEWgYAWRN77GSw_14_0"/>
      <w:bookmarkStart w:id="76" w:name="Tc_dItJH89qJ0uDn8DnV3M2Kw_13_0"/>
      <w:bookmarkStart w:id="77" w:name="Tc_2PSd2nxPNECTn2JfT7exew_12_0"/>
      <w:bookmarkStart w:id="78" w:name="Tc_TLDQ6BDi0USXqOXOpxT7Pw_11_0"/>
      <w:bookmarkStart w:id="79" w:name="Tc_ofABrdsJ0E-FUhz4sHpLlQ_10_0"/>
      <w:bookmarkStart w:id="80" w:name="Tc_0u1_DuUw6kiWZt7rsslcWQ_9_0"/>
      <w:bookmarkStart w:id="81" w:name="Tc_lcisN2raMkW38Px3E8NahQ_8_0"/>
      <w:bookmarkStart w:id="82" w:name="Tc_3COphgDobk6nbQulk-B6nA_7_0"/>
      <w:bookmarkStart w:id="83" w:name="Tc_d4n6byl_aEiX3DiJA99gtw_6_0"/>
      <w:bookmarkStart w:id="84" w:name="Tc_3lCBq42IcUOCfCTB-laasA_5_5"/>
      <w:bookmarkStart w:id="85" w:name="Tc_z4pSNp3BS0G6fM6xzBdkKQ_5_2"/>
      <w:bookmarkStart w:id="86" w:name="Tc__AQghl1OMEKpt5XuRZdPeg_5_0"/>
      <w:bookmarkStart w:id="87" w:name="Tc_nmDLKhtcG0aEU8KboK9ywg_4_0"/>
      <w:bookmarkStart w:id="88" w:name="Tc_RsyUpngrFkaByl8JIrl0hw_3_0"/>
      <w:bookmarkStart w:id="89" w:name="Tc_OdDLrYUQZkGUHSb1DL0Ehw_2_5"/>
      <w:bookmarkStart w:id="90" w:name="Tc_OAzUCzkVVUWyrOF0whIs2A_2_2"/>
      <w:bookmarkStart w:id="91" w:name="Tc_eDQEVeF5okCdthZv3KJo4w_1_5"/>
      <w:bookmarkStart w:id="92" w:name="Tc_uKXKyxgMvki2XEyDFeoh_A_1_2"/>
      <w:bookmarkStart w:id="93" w:name="_e61f4aaf_fe58_4cb8_803c_aca669916a73"/>
      <w:bookmarkStart w:id="94" w:name="Tc_5mNMv26hDUiArBXfA2-dTg_43_5"/>
      <w:bookmarkStart w:id="95" w:name="Tc_bNgonOwIi0C6Qe_kciahQQ_43_2"/>
      <w:bookmarkStart w:id="96" w:name="Tc_MkACXHqKzUqtfFH0q4PdCA_43_0"/>
      <w:bookmarkStart w:id="97" w:name="Tc_6iI6MbH4gE6EaLpbiFrwGw_42_0"/>
      <w:bookmarkStart w:id="98" w:name="Tc_c-ANA2-goEKAtMREaFA3Pw_41_0"/>
      <w:bookmarkStart w:id="99" w:name="Tc_GSo3vVJF70eFkw45w6rR7w_40_0"/>
      <w:bookmarkStart w:id="100" w:name="Tc_P2AxEixmzkOThFy0tnLLVg_39_0"/>
      <w:bookmarkStart w:id="101" w:name="Tc_vLeBrEDkvEGzy3aOAAbRgg_38_0"/>
      <w:bookmarkStart w:id="102" w:name="Tc_KqT9ErtakES33LeCG5hoLA_37_0"/>
      <w:bookmarkStart w:id="103" w:name="_4db8c229_5dfa_444d_983f_c63a90531591_3"/>
      <w:bookmarkStart w:id="104" w:name="_4db8c229_5dfa_444d_983f_c63a90531591_2"/>
      <w:bookmarkStart w:id="105" w:name="_4db8c229_5dfa_444d_983f_c63a90531591"/>
      <w:bookmarkStart w:id="106" w:name="Tc_lAYfq_kenU-zg3bfJMx7Rg_36_0"/>
      <w:bookmarkStart w:id="107" w:name="Tc_vjxZEa7kbEuEcxGPGSgLDQ_35_0"/>
      <w:bookmarkStart w:id="108" w:name="Tc_KBSNy9zMHke2mTFjFyds3A_33_0"/>
      <w:bookmarkStart w:id="109" w:name="Tc_Vgn-Wit7_UOErlOvzHW09w_32_0"/>
      <w:bookmarkStart w:id="110" w:name="Tc_x0HHJqxs80a2-G_uyUGVQQ_31_0"/>
      <w:bookmarkStart w:id="111" w:name="Tc_LCznshmw4UeNOMP7FCZVlQ_30_0"/>
      <w:bookmarkStart w:id="112" w:name="Tc_syODVsmLUkiwyrVCSwwyng_29_0"/>
      <w:bookmarkStart w:id="113" w:name="Tc_b0EE5FzxXEmNA4s2wr48iA_28_0"/>
      <w:bookmarkStart w:id="114" w:name="Tc_VFHRZZ5PrUSE0Elo3yk5JQ_27_0"/>
      <w:bookmarkStart w:id="115" w:name="Tc_CPY0WKhXcka8IRznC2DByQ_26_0"/>
      <w:bookmarkStart w:id="116" w:name="Tc_IViNLjof_k2h6vFhERSCRA_25_5"/>
      <w:bookmarkStart w:id="117" w:name="Tc_CHUqDtLqr0WX37_nklDytg_25_2"/>
      <w:bookmarkStart w:id="118" w:name="Tc_yohTklFlbUC04araMR7D7A_25_0"/>
      <w:bookmarkStart w:id="119" w:name="Tc_eHz_hIDnpk-odK52CNOFdw_24_0"/>
      <w:bookmarkStart w:id="120" w:name="Tc_FJGkTMMA-0SiksfS1Qn0Sw_23_0"/>
      <w:bookmarkStart w:id="121" w:name="Tc_oy_HJsxagkKMYprNNMfkXQ_22_5"/>
      <w:bookmarkStart w:id="122" w:name="Tc_cEPVb07DXEup4P6QSCQ_sA_22_2"/>
      <w:bookmarkStart w:id="123" w:name="Tc_0m_W1h2ZbkyGRWYSNbn9KQ_22_0"/>
      <w:bookmarkStart w:id="124" w:name="Tc_3yoPZjrTVEeRHEkphdy3rA_21_0"/>
      <w:bookmarkStart w:id="125" w:name="Tc_BW2vVho9kUKq5sn_bXw6Eg_20_0"/>
      <w:bookmarkStart w:id="126" w:name="Tc_Ey24JZX-VUOr_j3V4GzYmA_19_0"/>
      <w:bookmarkStart w:id="127" w:name="Tc_iJmV5FvSWUGdJT5ZRQrJ6Q_18_0"/>
      <w:bookmarkStart w:id="128" w:name="Tc_mYzvpiQ4GE-xQvRXpXB94A_17_0"/>
      <w:bookmarkStart w:id="129" w:name="Tc_PeKgESMOd0-gn3eWXTU3fw_16_0"/>
      <w:bookmarkStart w:id="130" w:name="Tc_k-UZpOprlEOVidtVd7G5Ug_15_0"/>
      <w:bookmarkStart w:id="131" w:name="Tc_OrrXr3NmPEWgYAWRN77GSw_14_0"/>
      <w:bookmarkStart w:id="132" w:name="Tc_dItJH89qJ0uDn8DnV3M2Kw_13_0"/>
      <w:bookmarkStart w:id="133" w:name="Tc_2PSd2nxPNECTn2JfT7exew_12_0"/>
      <w:bookmarkStart w:id="134" w:name="Tc_TLDQ6BDi0USXqOXOpxT7Pw_11_0"/>
      <w:bookmarkStart w:id="135" w:name="Tc_ofABrdsJ0E-FUhz4sHpLlQ_10_0"/>
      <w:bookmarkStart w:id="136" w:name="Tc_0u1_DuUw6kiWZt7rsslcWQ_9_0"/>
      <w:bookmarkStart w:id="137" w:name="Tc_lcisN2raMkW38Px3E8NahQ_8_0"/>
      <w:bookmarkStart w:id="138" w:name="Tc_3COphgDobk6nbQulk-B6nA_7_0"/>
      <w:bookmarkStart w:id="139" w:name="Tc_d4n6byl_aEiX3DiJA99gtw_6_0"/>
      <w:bookmarkStart w:id="140" w:name="Tc_3lCBq42IcUOCfCTB-laasA_5_5"/>
      <w:bookmarkStart w:id="141" w:name="Tc_z4pSNp3BS0G6fM6xzBdkKQ_5_2"/>
      <w:bookmarkStart w:id="142" w:name="Tc__AQghl1OMEKpt5XuRZdPeg_5_0"/>
      <w:bookmarkStart w:id="143" w:name="Tc_nmDLKhtcG0aEU8KboK9ywg_4_0"/>
      <w:bookmarkStart w:id="144" w:name="Tc_RsyUpngrFkaByl8JIrl0hw_3_0"/>
      <w:bookmarkStart w:id="145" w:name="Tc_OdDLrYUQZkGUHSb1DL0Ehw_2_5"/>
      <w:bookmarkStart w:id="146" w:name="Tc_OAzUCzkVVUWyrOF0whIs2A_2_2"/>
      <w:bookmarkStart w:id="147" w:name="Tc_eDQEVeF5okCdthZv3KJo4w_1_5"/>
      <w:bookmarkStart w:id="148" w:name="Tc_uKXKyxgMvki2XEyDFeoh_A_1_2"/>
      <w:bookmarkStart w:id="149" w:name="_e61f4aaf_fe58_4cb8_803c_aca669916a7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356"/>
        <w:gridCol w:w="326"/>
        <w:gridCol w:w="196"/>
        <w:gridCol w:w="826"/>
        <w:gridCol w:w="326"/>
        <w:gridCol w:w="203"/>
        <w:gridCol w:w="972"/>
      </w:tblGrid>
      <w:tr>
        <w:trPr/>
        <w:tc>
          <w:tcPr>
            <w:tcW w:w="7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1060" cy="175260"/>
                      <wp:effectExtent l="0" t="0" r="0" b="0"/>
                      <wp:wrapNone/>
                      <wp:docPr id="2" name="Frame1"/>
                      <a:graphic xmlns:a="http://schemas.openxmlformats.org/drawingml/2006/main">
                        <a:graphicData uri="http://schemas.microsoft.com/office/word/2010/wordprocessingShape">
                          <wps:wsp>
                            <wps:cNvSpPr txBox="1"/>
                            <wps:spPr>
                              <a:xfrm>
                                <a:off x="0" y="0"/>
                                <a:ext cx="467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24510" cy="175260"/>
                      <wp:effectExtent l="0" t="0" r="0" b="0"/>
                      <wp:wrapNone/>
                      <wp:docPr id="5" name="Frame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8905" cy="175260"/>
                      <wp:effectExtent l="0" t="0" r="0" b="0"/>
                      <wp:wrapNone/>
                      <wp:docPr id="7" name="Frame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17220" cy="175260"/>
                      <wp:effectExtent l="0" t="0" r="0" b="0"/>
                      <wp:wrapNone/>
                      <wp:docPr id="8" name="Frame7"/>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26" w:type="dxa"/>
            <w:tcBorders/>
            <w:vAlign w:val="center"/>
          </w:tcPr>
          <w:p>
            <w:pPr>
              <w:pStyle w:val="TableContents"/>
              <w:bidi w:val="0"/>
              <w:spacing w:before="0" w:after="1"/>
              <w:ind w:left="0" w:right="0" w:hanging="0"/>
              <w:jc w:val="center"/>
              <w:rPr/>
            </w:pPr>
            <w:r>
              <w:rPr/>
              <w:t>    </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1"/>
              <w:ind w:left="0" w:right="0" w:hanging="0"/>
              <w:jc w:val="center"/>
              <w:rPr/>
            </w:pPr>
            <w:r>
              <w:rPr/>
              <w:t>​</w:t>
            </w:r>
          </w:p>
        </w:tc>
        <w:tc>
          <w:tcPr>
            <w:tcW w:w="1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03" w:type="dxa"/>
            <w:tcBorders/>
            <w:shd w:fill="CCEEFF" w:val="clear"/>
            <w:vAlign w:val="center"/>
          </w:tcPr>
          <w:p>
            <w:pPr>
              <w:pStyle w:val="TableContents"/>
              <w:bidi w:val="0"/>
              <w:spacing w:before="0" w:after="1"/>
              <w:ind w:left="0" w:right="0" w:hanging="0"/>
              <w:jc w:val="left"/>
              <w:rPr/>
            </w:pPr>
            <w:r>
              <w:rPr/>
              <w:t>​</w:t>
            </w:r>
          </w:p>
        </w:tc>
        <w:tc>
          <w:tcPr>
            <w:tcW w:w="972"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03"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524,150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497,467</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9,979</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6,633</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funds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6,053,390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6,439,153</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 of allowance of $382</w:t>
            </w:r>
            <w:r>
              <w:rPr>
                <w:rFonts w:ascii="Times New Roman;Times;serif" w:hAnsi="Times New Roman;Times;serif"/>
                <w:color w:val="FF0000"/>
                <w:sz w:val="18"/>
              </w:rPr>
              <w:t xml:space="preserve"> </w:t>
            </w:r>
            <w:r>
              <w:rPr>
                <w:rFonts w:ascii="Times New Roman;Times;serif" w:hAnsi="Times New Roman;Times;serif"/>
                <w:sz w:val="18"/>
              </w:rPr>
              <w:t>at March 31,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9,382</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11,937</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advance receivables (net of allowance of $4,913 at March 31, 2025 and $4,955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45,088</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56,242</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70,832</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88,210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6,712,821</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7,099,642</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equipment and software,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17,113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16,053</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77,785</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77,785</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104,669</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102,390</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funds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525,000</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525,000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15,683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17,653</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41,249</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41,523</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pay fund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20,006</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19,403</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35,096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30,174</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7,550,162</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7,930,380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pPr>
            <w:r>
              <w:rPr/>
              <w:t>  </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payables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32,889</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37,302</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operating balances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6,578,390</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6,964,153</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payables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119,716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129,621</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6,730,995</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7,131,076</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1,471</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1,471</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66,965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73,043</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6,799,431</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7,205,590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left"/>
              <w:rPr/>
            </w:pPr>
            <w:r>
              <w:rPr/>
              <w:t>​</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pPr>
            <w:r>
              <w:rPr/>
              <w:t>  </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$0.01 par value, 380,000,000 shares authorized; no shares were issued and outstanding at March 31, 2025 and December 31, 2024.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$0.01 par value, 3,800,000,000 and 3,800,000,000 shares authorized; 400,261,352 and 395,965,588 shares issued and 362,508,704 and 360,093,249 shares outstanding at March 31,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3,960</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37,752,648 and 35,872,339 shares as of March 31, 2025 and December 31, 2024,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(210,702)</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(193,724)</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834,745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821,196</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(3,859)</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(12,609)</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Retained earnings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126,544</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105,967</w:t>
            </w:r>
          </w:p>
        </w:tc>
      </w:tr>
      <w:tr>
        <w:trPr/>
        <w:tc>
          <w:tcPr>
            <w:tcW w:w="735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shareholders’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750,731</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724,790</w:t>
            </w:r>
          </w:p>
        </w:tc>
      </w:tr>
      <w:tr>
        <w:trPr/>
        <w:tc>
          <w:tcPr>
            <w:tcW w:w="735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7,550,162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7,930,380</w:t>
            </w:r>
          </w:p>
        </w:tc>
      </w:tr>
    </w:tbl>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150" w:name="CONDENSEDCONSOLIDATEDSTATEMENTSOFLOSSUNA"/>
      <w:bookmarkStart w:id="151" w:name="_212fb213_dd49_4b17_821e_41bf4959e7ee"/>
      <w:bookmarkEnd w:id="150"/>
      <w:bookmarkEnd w:id="151"/>
      <w:r>
        <w:rPr>
          <w:rFonts w:ascii="Times New Roman;Times;serif" w:hAnsi="Times New Roman;Times;serif"/>
          <w:sz w:val="20"/>
        </w:rPr>
        <w:t>CONDENSED CONSOLIDATED STATEMENTS OF COMPREHENSIVE INCOME (UNAUDITED)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52" w:name="Tc_UlZ7--JWskiupi4OrnVBwA_44_0"/>
      <w:bookmarkStart w:id="153" w:name="Tc_ViH0x3i-8UWNcSQzATawNg_43_0"/>
      <w:bookmarkStart w:id="154" w:name="Tc_qr1tm3DZQEGt3TFudsp6lg_41_5"/>
      <w:bookmarkStart w:id="155" w:name="Tc_MI3Rg6sZekqhPneLyR2ivg_41_2"/>
      <w:bookmarkStart w:id="156" w:name="Tc_sf9Y-B5sGky0CL7EiTaL2w_41_0"/>
      <w:bookmarkStart w:id="157" w:name="Tc_Z2tOvq74oECcczUCsEXTwA_40_5"/>
      <w:bookmarkStart w:id="158" w:name="Tc_YgnHyXa2aESJVS433DP-mg_40_2"/>
      <w:bookmarkStart w:id="159" w:name="Tc_wljo-3zGN0u6BgNb9Ea2zw_40_0"/>
      <w:bookmarkStart w:id="160" w:name="Tc_JbwT7EEZ5E29yfUxN2oJIA_39_0"/>
      <w:bookmarkStart w:id="161" w:name="Tc_E3N2bHYz7EC-cSKdwJi5iw_37_5"/>
      <w:bookmarkStart w:id="162" w:name="Tc_XTkUFAumh02nuj7Rc5KJTw_37_2"/>
      <w:bookmarkStart w:id="163" w:name="Tc_gvpIDQoptESSHu6f7bPoBg_37_0"/>
      <w:bookmarkStart w:id="164" w:name="Tc_57Bk0SL-40qYNIPETUayoQ_35_0"/>
      <w:bookmarkStart w:id="165" w:name="Tc_k9PUua5i_0SJoaasdNoqeg_34_6"/>
      <w:bookmarkStart w:id="166" w:name="Tc_nRfFBJddCUSpo8o0TMtpew_34_0"/>
      <w:bookmarkStart w:id="167" w:name="Tc_War7pzPWb0edqiECBUjmaw_33_6"/>
      <w:bookmarkStart w:id="168" w:name="Tc_CtTfKaFqrkW83JruYxyAbQ_33_0"/>
      <w:bookmarkStart w:id="169" w:name="Tc_O3LvQ3hdlEqx2WuHXTyekA_32_6"/>
      <w:bookmarkStart w:id="170" w:name="Tc_faSeOlpKfU6TsrL4dOW_6Q_32_0"/>
      <w:bookmarkStart w:id="171" w:name="Tc_cQ31lmVOdU21mBqRI-dPbA_31_0"/>
      <w:bookmarkStart w:id="172" w:name="Tc_Dutv4Psvi0yv_PinKoOGvQ_30_0"/>
      <w:bookmarkStart w:id="173" w:name="Tc_Ff6wfnyymU-77erXxzPWow_29_6"/>
      <w:bookmarkStart w:id="174" w:name="Tc_hcWlC6kiG0ecCklgAUMPDA_29_0"/>
      <w:bookmarkStart w:id="175" w:name="Tc_XxjLdn3fTES6TDOARdcOtw_28_0"/>
      <w:bookmarkStart w:id="176" w:name="Tc_BMKq1dKIfkm5wWo9ODPHuw_27_0"/>
      <w:bookmarkStart w:id="177" w:name="Tc_oJTIB61sDEOQryKaZCYTEw_25_5"/>
      <w:bookmarkStart w:id="178" w:name="Tc_cS8v9mwxpUWfAjYi7zHd4A_25_2"/>
      <w:bookmarkStart w:id="179" w:name="Tc_Zd8yh9Ddi0OcLd2bwwOdOw_25_0"/>
      <w:bookmarkStart w:id="180" w:name="Tc_XEkKeY1DT0KecvZn6ibP7g_23_0"/>
      <w:bookmarkStart w:id="181" w:name="Tc_wCWKPQ9b9UGnAMpB9eIx1A_21_0"/>
      <w:bookmarkStart w:id="182" w:name="Tc_boovBnithU6x9cbCG417mw_19_0"/>
      <w:bookmarkStart w:id="183" w:name="Tc_nLH9gSEQwky0I5ackn34cg_18_0"/>
      <w:bookmarkStart w:id="184" w:name="Tc_z0jzxgf9QUuR76kjXwM6Xw_17_3"/>
      <w:bookmarkStart w:id="185" w:name="Tc_0C43-MuEPE-op1G8OMHOWg_17_0"/>
      <w:bookmarkStart w:id="186" w:name="Tc_p8uVKPdYpkG1EcE1hvQB_g_16_0"/>
      <w:bookmarkStart w:id="187" w:name="Tc_d-0d_DKBkkqXp74PTIxbBg_14_0"/>
      <w:bookmarkStart w:id="188" w:name="Tc_Rx3mXhhT4Ua1gbiqZxmaSg_12_0"/>
      <w:bookmarkStart w:id="189" w:name="Tc_gSEdJxXNlUOCYRlTXfkBcA_11_0"/>
      <w:bookmarkStart w:id="190" w:name="Tc_xX8BHHfuekGF9-C9SFDTzg_10_0"/>
      <w:bookmarkStart w:id="191" w:name="Tc_I8jjs0i-YUW9gE0XWtRM2A_9_0"/>
      <w:bookmarkStart w:id="192" w:name="Tc_gUPqNLIEq0WWEtSW3xpVrg_8_0"/>
      <w:bookmarkStart w:id="193" w:name="Tc_3mlDGpOFT0axJkR5pVlZ9Q_7_0"/>
      <w:bookmarkStart w:id="194" w:name="Tc_r9-mnj3GQkeISFU6K0bT3w_6_0"/>
      <w:bookmarkStart w:id="195" w:name="Tc_EpCkVtYzb0SM_YS9FIxXlg_4_5"/>
      <w:bookmarkStart w:id="196" w:name="Tc_hwMH4FG7c02IvUHD9zNpow_4_2"/>
      <w:bookmarkStart w:id="197" w:name="Tc_6KfzCLX6tEGw5DhjFOqXjg_4_0"/>
      <w:bookmarkStart w:id="198" w:name="Tc_9NdbNx9P1E65K-bDg_8CcQ_3_5"/>
      <w:bookmarkStart w:id="199" w:name="Tc_WvAjodRx_0qsFlcmUZt2_w_3_2"/>
      <w:bookmarkStart w:id="200" w:name="Tc_Q9BrpMzQGke5XLYGKeN9mA_2_2"/>
      <w:bookmarkStart w:id="201" w:name="Tc_8Tqx2coqJ0-r2Q9lUAVvaw_1_2"/>
      <w:bookmarkStart w:id="202" w:name="_c4994ce0_a93b_40b2_8a79_80203f42e06f"/>
      <w:bookmarkStart w:id="203" w:name="Tc_UlZ7--JWskiupi4OrnVBwA_44_0"/>
      <w:bookmarkStart w:id="204" w:name="Tc_ViH0x3i-8UWNcSQzATawNg_43_0"/>
      <w:bookmarkStart w:id="205" w:name="Tc_qr1tm3DZQEGt3TFudsp6lg_41_5"/>
      <w:bookmarkStart w:id="206" w:name="Tc_MI3Rg6sZekqhPneLyR2ivg_41_2"/>
      <w:bookmarkStart w:id="207" w:name="Tc_sf9Y-B5sGky0CL7EiTaL2w_41_0"/>
      <w:bookmarkStart w:id="208" w:name="Tc_Z2tOvq74oECcczUCsEXTwA_40_5"/>
      <w:bookmarkStart w:id="209" w:name="Tc_YgnHyXa2aESJVS433DP-mg_40_2"/>
      <w:bookmarkStart w:id="210" w:name="Tc_wljo-3zGN0u6BgNb9Ea2zw_40_0"/>
      <w:bookmarkStart w:id="211" w:name="Tc_JbwT7EEZ5E29yfUxN2oJIA_39_0"/>
      <w:bookmarkStart w:id="212" w:name="Tc_E3N2bHYz7EC-cSKdwJi5iw_37_5"/>
      <w:bookmarkStart w:id="213" w:name="Tc_XTkUFAumh02nuj7Rc5KJTw_37_2"/>
      <w:bookmarkStart w:id="214" w:name="Tc_gvpIDQoptESSHu6f7bPoBg_37_0"/>
      <w:bookmarkStart w:id="215" w:name="Tc_57Bk0SL-40qYNIPETUayoQ_35_0"/>
      <w:bookmarkStart w:id="216" w:name="Tc_k9PUua5i_0SJoaasdNoqeg_34_6"/>
      <w:bookmarkStart w:id="217" w:name="Tc_nRfFBJddCUSpo8o0TMtpew_34_0"/>
      <w:bookmarkStart w:id="218" w:name="Tc_War7pzPWb0edqiECBUjmaw_33_6"/>
      <w:bookmarkStart w:id="219" w:name="Tc_CtTfKaFqrkW83JruYxyAbQ_33_0"/>
      <w:bookmarkStart w:id="220" w:name="Tc_O3LvQ3hdlEqx2WuHXTyekA_32_6"/>
      <w:bookmarkStart w:id="221" w:name="Tc_faSeOlpKfU6TsrL4dOW_6Q_32_0"/>
      <w:bookmarkStart w:id="222" w:name="Tc_cQ31lmVOdU21mBqRI-dPbA_31_0"/>
      <w:bookmarkStart w:id="223" w:name="Tc_Dutv4Psvi0yv_PinKoOGvQ_30_0"/>
      <w:bookmarkStart w:id="224" w:name="Tc_Ff6wfnyymU-77erXxzPWow_29_6"/>
      <w:bookmarkStart w:id="225" w:name="Tc_hcWlC6kiG0ecCklgAUMPDA_29_0"/>
      <w:bookmarkStart w:id="226" w:name="Tc_XxjLdn3fTES6TDOARdcOtw_28_0"/>
      <w:bookmarkStart w:id="227" w:name="Tc_BMKq1dKIfkm5wWo9ODPHuw_27_0"/>
      <w:bookmarkStart w:id="228" w:name="Tc_oJTIB61sDEOQryKaZCYTEw_25_5"/>
      <w:bookmarkStart w:id="229" w:name="Tc_cS8v9mwxpUWfAjYi7zHd4A_25_2"/>
      <w:bookmarkStart w:id="230" w:name="Tc_Zd8yh9Ddi0OcLd2bwwOdOw_25_0"/>
      <w:bookmarkStart w:id="231" w:name="Tc_XEkKeY1DT0KecvZn6ibP7g_23_0"/>
      <w:bookmarkStart w:id="232" w:name="Tc_wCWKPQ9b9UGnAMpB9eIx1A_21_0"/>
      <w:bookmarkStart w:id="233" w:name="Tc_boovBnithU6x9cbCG417mw_19_0"/>
      <w:bookmarkStart w:id="234" w:name="Tc_nLH9gSEQwky0I5ackn34cg_18_0"/>
      <w:bookmarkStart w:id="235" w:name="Tc_z0jzxgf9QUuR76kjXwM6Xw_17_3"/>
      <w:bookmarkStart w:id="236" w:name="Tc_0C43-MuEPE-op1G8OMHOWg_17_0"/>
      <w:bookmarkStart w:id="237" w:name="Tc_p8uVKPdYpkG1EcE1hvQB_g_16_0"/>
      <w:bookmarkStart w:id="238" w:name="Tc_d-0d_DKBkkqXp74PTIxbBg_14_0"/>
      <w:bookmarkStart w:id="239" w:name="Tc_Rx3mXhhT4Ua1gbiqZxmaSg_12_0"/>
      <w:bookmarkStart w:id="240" w:name="Tc_gSEdJxXNlUOCYRlTXfkBcA_11_0"/>
      <w:bookmarkStart w:id="241" w:name="Tc_xX8BHHfuekGF9-C9SFDTzg_10_0"/>
      <w:bookmarkStart w:id="242" w:name="Tc_I8jjs0i-YUW9gE0XWtRM2A_9_0"/>
      <w:bookmarkStart w:id="243" w:name="Tc_gUPqNLIEq0WWEtSW3xpVrg_8_0"/>
      <w:bookmarkStart w:id="244" w:name="Tc_3mlDGpOFT0axJkR5pVlZ9Q_7_0"/>
      <w:bookmarkStart w:id="245" w:name="Tc_r9-mnj3GQkeISFU6K0bT3w_6_0"/>
      <w:bookmarkStart w:id="246" w:name="Tc_EpCkVtYzb0SM_YS9FIxXlg_4_5"/>
      <w:bookmarkStart w:id="247" w:name="Tc_hwMH4FG7c02IvUHD9zNpow_4_2"/>
      <w:bookmarkStart w:id="248" w:name="Tc_6KfzCLX6tEGw5DhjFOqXjg_4_0"/>
      <w:bookmarkStart w:id="249" w:name="Tc_9NdbNx9P1E65K-bDg_8CcQ_3_5"/>
      <w:bookmarkStart w:id="250" w:name="Tc_WvAjodRx_0qsFlcmUZt2_w_3_2"/>
      <w:bookmarkStart w:id="251" w:name="Tc_Q9BrpMzQGke5XLYGKeN9mA_2_2"/>
      <w:bookmarkStart w:id="252" w:name="Tc_8Tqx2coqJ0-r2Q9lUAVvaw_1_2"/>
      <w:bookmarkStart w:id="253" w:name="_c4994ce0_a93b_40b2_8a79_80203f42e06f"/>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10205" w:type="dxa"/>
        <w:jc w:val="left"/>
        <w:tblInd w:w="0" w:type="dxa"/>
        <w:tblLayout w:type="fixed"/>
        <w:tblCellMar>
          <w:top w:w="0" w:type="dxa"/>
          <w:left w:w="0" w:type="dxa"/>
          <w:bottom w:w="0" w:type="dxa"/>
          <w:right w:w="0" w:type="dxa"/>
        </w:tblCellMar>
      </w:tblPr>
      <w:tblGrid>
        <w:gridCol w:w="7104"/>
        <w:gridCol w:w="326"/>
        <w:gridCol w:w="196"/>
        <w:gridCol w:w="1006"/>
        <w:gridCol w:w="326"/>
        <w:gridCol w:w="196"/>
        <w:gridCol w:w="1051"/>
      </w:tblGrid>
      <w:tr>
        <w:trPr/>
        <w:tc>
          <w:tcPr>
            <w:tcW w:w="7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511040" cy="175260"/>
                      <wp:effectExtent l="0" t="0" r="0" b="0"/>
                      <wp:wrapNone/>
                      <wp:docPr id="9" name="Frame8"/>
                      <a:graphic xmlns:a="http://schemas.openxmlformats.org/drawingml/2006/main">
                        <a:graphicData uri="http://schemas.microsoft.com/office/word/2010/wordprocessingShape">
                          <wps:wsp>
                            <wps:cNvSpPr txBox="1"/>
                            <wps:spPr>
                              <a:xfrm>
                                <a:off x="0" y="0"/>
                                <a:ext cx="451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38810" cy="175260"/>
                      <wp:effectExtent l="0" t="0" r="0" b="0"/>
                      <wp:wrapNone/>
                      <wp:docPr id="12" name="Frame1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7385" cy="175260"/>
                      <wp:effectExtent l="0" t="0" r="0" b="0"/>
                      <wp:wrapNone/>
                      <wp:docPr id="15" name="Frame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246,617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228,183</w: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Transaction costs (Excluding depreciation and amortization shown separately below and including $0 and $438 in interest expense and fees associated with related party transactions during the three months ended March 31, 2025 and 2024, respectively; refer to Notes 12 and 22 for further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33,966</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40,283</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32,051</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 and marketing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49,890</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24,209</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9,408</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217,298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189,807</w: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38,376</w: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Financial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from change in fair value of Warrants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1,761</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financial income (expense), net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Financial income (expense), net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4,508</w:t>
            </w:r>
          </w:p>
        </w:tc>
      </w:tr>
      <w:tr>
        <w:trPr/>
        <w:tc>
          <w:tcPr>
            <w:tcW w:w="71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Income before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27,769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42,884</w:t>
            </w:r>
          </w:p>
        </w:tc>
      </w:tr>
      <w:tr>
        <w:trPr/>
        <w:tc>
          <w:tcPr>
            <w:tcW w:w="71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7,192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13,910</w:t>
            </w:r>
          </w:p>
        </w:tc>
      </w:tr>
      <w:tr>
        <w:trPr/>
        <w:tc>
          <w:tcPr>
            <w:tcW w:w="71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20,577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28,974</w:t>
            </w:r>
          </w:p>
        </w:tc>
      </w:tr>
      <w:tr>
        <w:trPr/>
        <w:tc>
          <w:tcPr>
            <w:tcW w:w="71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available-for-sale debt securities,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expense on unrealized gains on available-for-sale debt securities,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cash flow hedges,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benefit (expense) on unrealized gains (losses) on cash flow hedges,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interest rate floor,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expense on unrealized gains on interest rate floor,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r>
      <w:tr>
        <w:trPr/>
        <w:tc>
          <w:tcPr>
            <w:tcW w:w="7104"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29,327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29,001</w:t>
            </w:r>
          </w:p>
        </w:tc>
      </w:tr>
      <w:tr>
        <w:trPr/>
        <w:tc>
          <w:tcPr>
            <w:tcW w:w="71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 Share Data</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per share attributable to common stockholders — Basic earnings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0.08</w:t>
            </w:r>
          </w:p>
        </w:tc>
      </w:tr>
      <w:tr>
        <w:trPr/>
        <w:tc>
          <w:tcPr>
            <w:tcW w:w="7104" w:type="dxa"/>
            <w:tcBorders/>
            <w:vAlign w:val="center"/>
          </w:tcPr>
          <w:p>
            <w:pPr>
              <w:pStyle w:val="TableContents"/>
              <w:bidi w:val="0"/>
              <w:spacing w:before="0" w:after="1"/>
              <w:ind w:left="0" w:right="0" w:hanging="0"/>
              <w:jc w:val="left"/>
              <w:rPr/>
            </w:pPr>
            <w:r>
              <w:rPr/>
              <w:t xml:space="preserve">— </w:t>
            </w:r>
            <w:r>
              <w:rPr>
                <w:rFonts w:ascii="Times New Roman;Times;serif" w:hAnsi="Times New Roman;Times;serif"/>
                <w:sz w:val="18"/>
              </w:rPr>
              <w:t xml:space="preserve">Diluted earnings per share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0.08</w:t>
            </w:r>
          </w:p>
        </w:tc>
      </w:tr>
      <w:tr>
        <w:trPr/>
        <w:tc>
          <w:tcPr>
            <w:tcW w:w="710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710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common shares outstanding — Basic</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362,979,571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359,306,195</w:t>
            </w:r>
          </w:p>
        </w:tc>
      </w:tr>
      <w:tr>
        <w:trPr/>
        <w:tc>
          <w:tcPr>
            <w:tcW w:w="710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common shares outstanding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382,215,129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378,715,301</w:t>
            </w:r>
          </w:p>
        </w:tc>
      </w:tr>
      <w:tr>
        <w:trPr/>
        <w:tc>
          <w:tcPr>
            <w:tcW w:w="71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200"/>
        <w:ind w:left="0" w:right="0" w:hanging="0"/>
        <w:jc w:val="center"/>
        <w:rPr/>
      </w:pPr>
      <w:bookmarkStart w:id="254" w:name="_9acd1d95_4469_4709_926f_394e703f5bf6"/>
      <w:bookmarkEnd w:id="254"/>
      <w:r>
        <w:rPr/>
        <w:t>​</w:t>
      </w:r>
    </w:p>
    <w:p>
      <w:pPr>
        <w:pStyle w:val="TextBody"/>
        <w:bidi w:val="0"/>
        <w:spacing w:before="0" w:after="0"/>
        <w:ind w:left="0" w:right="0" w:hanging="0"/>
        <w:jc w:val="center"/>
        <w:rPr>
          <w:rFonts w:ascii="Times New Roman;Times;serif" w:hAnsi="Times New Roman;Times;serif"/>
          <w:sz w:val="20"/>
        </w:rPr>
      </w:pPr>
      <w:bookmarkStart w:id="255" w:name="CONDENSEDCONSOLIDATEDSTATEMENTSOFCHANGES"/>
      <w:bookmarkEnd w:id="255"/>
      <w:r>
        <w:rPr>
          <w:rFonts w:ascii="Times New Roman;Times;serif" w:hAnsi="Times New Roman;Times;serif"/>
          <w:sz w:val="20"/>
        </w:rPr>
        <w:t>CONDENSED CONSOLIDATED STATEMENTS OF CHANGES IN SHAREHOLDERS’ EQUITY (UNAUDITED)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Normal"/>
        <w:bidi w:val="0"/>
        <w:spacing w:before="0" w:after="0"/>
        <w:jc w:val="left"/>
        <w:rPr>
          <w:sz w:val="4"/>
          <w:szCs w:val="4"/>
        </w:rPr>
      </w:pPr>
      <w:r>
        <w:rPr>
          <w:sz w:val="4"/>
          <w:szCs w:val="4"/>
        </w:rPr>
      </w:r>
      <w:bookmarkStart w:id="256" w:name="Tc_MOjV6YlLvkeKN_3eH4PsYg_27_21"/>
      <w:bookmarkStart w:id="257" w:name="Tc_IVrep4GvD0OrxuezklR4tA_27_18"/>
      <w:bookmarkStart w:id="258" w:name="Tc_Y86_z42-jk2aeIWmt70NFQ_27_15"/>
      <w:bookmarkStart w:id="259" w:name="Tc_e-iX5PQ2Wkmtd_aqB6VDBQ_27_12"/>
      <w:bookmarkStart w:id="260" w:name="Tc__bvSyWvUUUiv8t-TBSQjvA_27_9"/>
      <w:bookmarkStart w:id="261" w:name="Tc_tLuNuY2fgUaU1lgz0gjYHg_27_4"/>
      <w:bookmarkStart w:id="262" w:name="Tc_wdrYe4NbFkm8VuMtgyaHtg_27_0"/>
      <w:bookmarkStart w:id="263" w:name="Tc_U6ZVmv-8VkWNs59Ab-hTIg_26_16"/>
      <w:bookmarkStart w:id="264" w:name="Tc_pupPYGnD6EGjYTSZA96p9w_26_13"/>
      <w:bookmarkStart w:id="265" w:name="Tc_7rV48wNM_0OstvSpV7u2Bw_26_10"/>
      <w:bookmarkStart w:id="266" w:name="Tc_g_6yKdVg3ECcB8W4ulmPFQ_26_7"/>
      <w:bookmarkStart w:id="267" w:name="Tc_-HqU-ExoE0qucCG9UmGMeA_26_5"/>
      <w:bookmarkStart w:id="268" w:name="Tc_SGN6RSHApEe9nVg8MmfrgA_26_2"/>
      <w:bookmarkStart w:id="269" w:name="Tc_3sszJQ3HuEq9SfcTsD-S2Q_26_0"/>
      <w:bookmarkStart w:id="270" w:name="Tc_oyn2zYD0jEa5qb4rAo0eeA_25_0"/>
      <w:bookmarkStart w:id="271" w:name="Tc_Imql6dQOo0Sx42pMoiiGMg_24_19"/>
      <w:bookmarkStart w:id="272" w:name="Tc_PzaI_gtcy0afHFb7eKX5OA_24_13"/>
      <w:bookmarkStart w:id="273" w:name="Tc_FsKmt4GrYE2cTj2s5QVcpA_24_10"/>
      <w:bookmarkStart w:id="274" w:name="Tc_6-6z6kJ3z0u8ttjHyNg6VQ_24_7"/>
      <w:bookmarkStart w:id="275" w:name="Tc_wk31SsDCCU6AnWMXa1_EJg_24_5"/>
      <w:bookmarkStart w:id="276" w:name="Tc_PWAu7ObGTUqsL5Emv09iWQ_24_2"/>
      <w:bookmarkStart w:id="277" w:name="Tc_EddrETBnxkmJAXbjCgZ5Aw_24_0"/>
      <w:bookmarkStart w:id="278" w:name="Tc_daSkAxzpy0eOE6IXWtpYCw_23_19"/>
      <w:bookmarkStart w:id="279" w:name="Tc_Rrcgv4njLU6ZTfnyZ9KvpA_23_13"/>
      <w:bookmarkStart w:id="280" w:name="Tc_w_o3h5kxHki01azcMRw9fA_23_10"/>
      <w:bookmarkStart w:id="281" w:name="Tc__d0biqahAE-5PRzt1685UA_23_7"/>
      <w:bookmarkStart w:id="282" w:name="Tc_85-F6Rv1bUeGzhvoSbNhQA_23_5"/>
      <w:bookmarkStart w:id="283" w:name="Tc_KtDN3D9P0UeKvLc7mFBx0A_23_2"/>
      <w:bookmarkStart w:id="284" w:name="Tc_qnEcuSBat02JWn8hIv6-zQ_23_0"/>
      <w:bookmarkStart w:id="285" w:name="Tc_r6ly1VYqk02b4GlZXFZVsQ_22_19"/>
      <w:bookmarkStart w:id="286" w:name="Tc_SQWKuV-VakalMWCIeCVqvg_22_16"/>
      <w:bookmarkStart w:id="287" w:name="Tc_XiWyChIFIEWiO_h3h3vlYw_22_13"/>
      <w:bookmarkStart w:id="288" w:name="Tc_wa8VnvTdf0G5dYuF3n7Blw_22_5"/>
      <w:bookmarkStart w:id="289" w:name="Tc_4eU9WJaZCE-0M-WtcsCwHA_22_2"/>
      <w:bookmarkStart w:id="290" w:name="Tc_tcDqIVeIp06soHxjseWgPQ_22_0"/>
      <w:bookmarkStart w:id="291" w:name="Tc_haLao4IR4EWmN78F3XEKLg_21_19"/>
      <w:bookmarkStart w:id="292" w:name="Tc_vCiLagJ7Qk-fqrhho7LtVQ_21_16"/>
      <w:bookmarkStart w:id="293" w:name="Tc_Tef-3zY9sUKNY6cwDW5f5A_21_10"/>
      <w:bookmarkStart w:id="294" w:name="Tc_jEhbHr_P_U253bm-fsG4MA_21_7"/>
      <w:bookmarkStart w:id="295" w:name="Tc_I0lpTfb0GEmPt3zcYMHpAw_21_5"/>
      <w:bookmarkStart w:id="296" w:name="Tc_vEMHWOpjGUWgNVQQbDy2kw_21_2"/>
      <w:bookmarkStart w:id="297" w:name="Tc_Zlu8hsIA-kezk4pJQu_B_w_21_0"/>
      <w:bookmarkStart w:id="298" w:name="Tc_Ar0nnKvrnkOoEsmlvpP7rw_20_19"/>
      <w:bookmarkStart w:id="299" w:name="Tc_58X7QzFRX0KtSgdlS8uiFg_20_16"/>
      <w:bookmarkStart w:id="300" w:name="Tc_Pj3UeoFM-0ya93o16Mddng_20_10"/>
      <w:bookmarkStart w:id="301" w:name="Tc_X673USbYC06ti7E-jFgnNw_20_7"/>
      <w:bookmarkStart w:id="302" w:name="Tc_496qZKePKEWeIl9nInJefA_20_0"/>
      <w:bookmarkStart w:id="303" w:name="Tc_XERuxJlzYUOqAWFj-oaw8w_19_21"/>
      <w:bookmarkStart w:id="304" w:name="Tc_99FsdBG_AUefrKjAxAnajA_19_18"/>
      <w:bookmarkStart w:id="305" w:name="Tc_L1KX6_SOAUKOAmyA1yR8Iw_19_15"/>
      <w:bookmarkStart w:id="306" w:name="Tc_3AoPz_0pkkyeP3pkqNMjhw_19_12"/>
      <w:bookmarkStart w:id="307" w:name="Tc_7Tk9M24hRECLmacVP3WPnA_19_9"/>
      <w:bookmarkStart w:id="308" w:name="Tc_eOxkW2jaX069P-xZjWJNQg_19_4"/>
      <w:bookmarkStart w:id="309" w:name="Tc_pUq5PiJEGk2XG-n9rNb7Uw_19_0"/>
      <w:bookmarkStart w:id="310" w:name="Tc_VgyQciDhvEaFqaJ9rbLeRg_17_21"/>
      <w:bookmarkStart w:id="311" w:name="Tc_1dY1VrEg80uRtlm1KCKbqg_17_18"/>
      <w:bookmarkStart w:id="312" w:name="Tc_NTn-JqWfAkW4boB1Jw7YsA_17_15"/>
      <w:bookmarkStart w:id="313" w:name="Tc_Dc6QRiv7DUmRxKiL0g4mjA_17_12"/>
      <w:bookmarkStart w:id="314" w:name="Tc_iVRYYKitR0mNjTFiJiEZwg_17_9"/>
      <w:bookmarkStart w:id="315" w:name="Tc_jnw3E1NuaUKZI9ARKHVITA_17_4"/>
      <w:bookmarkStart w:id="316" w:name="Tc_yd_LjZA_00aiTFrtnm9hhg_17_0"/>
      <w:bookmarkStart w:id="317" w:name="Tc_ja07GlIkdUijoffJmmQyfw_16_16"/>
      <w:bookmarkStart w:id="318" w:name="Tc_5xLRQBRWU0yvHo44zxiHOA_16_13"/>
      <w:bookmarkStart w:id="319" w:name="Tc_Wstc-4r_F0Wmqsc9D-mSUQ_16_10"/>
      <w:bookmarkStart w:id="320" w:name="Tc_s1ZXVek3UkiaDG1bXLnk8w_16_7"/>
      <w:bookmarkStart w:id="321" w:name="Tc_Dk8e_AdPY0mc76rwMFPc-g_16_5"/>
      <w:bookmarkStart w:id="322" w:name="Tc_g5Sbg9MnGEyzi22PQWr9mQ_16_2"/>
      <w:bookmarkStart w:id="323" w:name="Tc_mh2tnQXCqEmPqywLypGYMQ_16_0"/>
      <w:bookmarkStart w:id="324" w:name="Tc_gyBm6BQlb0CHeFUMwacB9A_15_19"/>
      <w:bookmarkStart w:id="325" w:name="Tc_VXwmDbErokCcwKIybiLFyA_15_13"/>
      <w:bookmarkStart w:id="326" w:name="Tc_o1eP1wYXbkKWlz67sVqA2A_15_10"/>
      <w:bookmarkStart w:id="327" w:name="Tc_TM49QS4FfUqFRe9CpqjlYQ_15_7"/>
      <w:bookmarkStart w:id="328" w:name="Tc_6z9pDirBLUOE4bB_VW3N9w_15_5"/>
      <w:bookmarkStart w:id="329" w:name="Tc_B7PK90jf-U6Spm_1zwaJTw_15_2"/>
      <w:bookmarkStart w:id="330" w:name="Tc_9h-bOemALkCDtyQq2QZDsA_15_0"/>
      <w:bookmarkStart w:id="331" w:name="Tc_Cn7QpcWiZ0OF5W-D9X4WiA_14_19"/>
      <w:bookmarkStart w:id="332" w:name="Tc_FcudlJfTA0ysWjrgR3ZYZQ_14_13"/>
      <w:bookmarkStart w:id="333" w:name="Tc_Ix6koPX8gEuR22QKjFAKVg_14_10"/>
      <w:bookmarkStart w:id="334" w:name="Tc_Zt0dHYak_EuUuVyANKOQKw_14_7"/>
      <w:bookmarkStart w:id="335" w:name="Tc_kIJLx0o6T0mRrKYZqi3Uig_14_5"/>
      <w:bookmarkStart w:id="336" w:name="Tc_ACiQG0HdPkKoxQRcNiTBqA_14_2"/>
      <w:bookmarkStart w:id="337" w:name="Tc_nuWov34tF0iHAyBPMOcTEg_14_0"/>
      <w:bookmarkStart w:id="338" w:name="Tc_Y9QABlEGok2ne_3jooRrQQ_13_19"/>
      <w:bookmarkStart w:id="339" w:name="Tc_mZPW1Rjs6UuZZUpi53Wqog_13_13"/>
      <w:bookmarkStart w:id="340" w:name="Tc_twB8yosPY0euKAzvsrln4g_13_10"/>
      <w:bookmarkStart w:id="341" w:name="Tc_gplRWBndU0SbqYUOBRX-MQ_13_7"/>
      <w:bookmarkStart w:id="342" w:name="Tc_MqyBi3D5f0qGBR2ppBXVxA_13_5"/>
      <w:bookmarkStart w:id="343" w:name="Tc_EjyKfOYfl0GZRNFavHAFfA_13_2"/>
      <w:bookmarkStart w:id="344" w:name="Tc_pHBO-wwiJ06mXZBno24kcw_13_0"/>
      <w:bookmarkStart w:id="345" w:name="Tc_XTq9317exE2Lfgfcdxpxkg_12_19"/>
      <w:bookmarkStart w:id="346" w:name="Tc_kShMMf9v4UK_BYaESJa8Kg_12_13"/>
      <w:bookmarkStart w:id="347" w:name="Tc_MLE2AdGV8UKQKZqn-t495Q_12_10"/>
      <w:bookmarkStart w:id="348" w:name="Tc_wMOLcJju4EqWBYuhqSKH_Q_12_7"/>
      <w:bookmarkStart w:id="349" w:name="Tc_myPKhy62HEuMr5XsQzejSw_12_5"/>
      <w:bookmarkStart w:id="350" w:name="Tc_S5dupEPssU2qsb07ZPXNlA_12_2"/>
      <w:bookmarkStart w:id="351" w:name="Tc_yGj2pSum2E6N_W-IiwNrYg_12_0"/>
      <w:bookmarkStart w:id="352" w:name="Tc_PmnrHKM6dUaTU5JDnrijWw_11_19"/>
      <w:bookmarkStart w:id="353" w:name="Tc_JvQBiVd0dEe7w_ub13r3EQ_11_13"/>
      <w:bookmarkStart w:id="354" w:name="Tc_x8-JSTir3UumrG1D2NDN1A_11_10"/>
      <w:bookmarkStart w:id="355" w:name="Tc_EG_XkGMd5UibDvx7eli1Sg_11_7"/>
      <w:bookmarkStart w:id="356" w:name="Tc_hKte-g0XIUKpqoeQnr8VwA_11_5"/>
      <w:bookmarkStart w:id="357" w:name="Tc_oL78fd64QEShIeWRn20emA_11_2"/>
      <w:bookmarkStart w:id="358" w:name="Tc_XZIScPlZCkuOc2zTpPFGGg_11_0"/>
      <w:bookmarkStart w:id="359" w:name="Tc_vBNackSb2kWb4C72SIQ0Cg_10_19"/>
      <w:bookmarkStart w:id="360" w:name="Tc_2SVFX3DoWkq1j23YV2AgTg_10_13"/>
      <w:bookmarkStart w:id="361" w:name="Tc_Gq-tczy0i0W2r_Bnqhq71Q_10_10"/>
      <w:bookmarkStart w:id="362" w:name="Tc_Q3Y81rATuEWdAVUEVa6RaA_10_7"/>
      <w:bookmarkStart w:id="363" w:name="Tc_Y4kBIBtmlk-VFpWmJdyJWw_10_5"/>
      <w:bookmarkStart w:id="364" w:name="Tc_NfaZIZo4xUKEOdLbgY5E5w_10_2"/>
      <w:bookmarkStart w:id="365" w:name="Tc_0m5pS0F30kajTJ7ViD1tCw_10_0"/>
      <w:bookmarkStart w:id="366" w:name="Tc_OigJLYr7REK08z35M0oj0w_9_19"/>
      <w:bookmarkStart w:id="367" w:name="Tc_A6y5iAr510yDmnynScIl5A_9_13"/>
      <w:bookmarkStart w:id="368" w:name="Tc_vsre3lgnw0Cp7xEMd-YzFQ_9_10"/>
      <w:bookmarkStart w:id="369" w:name="Tc_Ut7DWtqtIkurDGJqtxB7IQ_9_7"/>
      <w:bookmarkStart w:id="370" w:name="Tc_32HUyexs5U-MERRnLwKv0w_9_5"/>
      <w:bookmarkStart w:id="371" w:name="Tc_2UDxAQ7Y2Ui8TiItd9Dcyw_9_2"/>
      <w:bookmarkStart w:id="372" w:name="Tc_rg63zxPYv0qS8Glk58FuXA_9_0"/>
      <w:bookmarkStart w:id="373" w:name="Tc_b2UCvhBfmkSRDgPtGugDPg_8_19"/>
      <w:bookmarkStart w:id="374" w:name="Tc_PqmjuvLoHkW1g_G1H4OXUQ_8_16"/>
      <w:bookmarkStart w:id="375" w:name="Tc_QZZ4_DQ27kmFwj2d9lZAzw_8_13"/>
      <w:bookmarkStart w:id="376" w:name="Tc_H7s-3W1rUUCa466eVhyA6g_8_5"/>
      <w:bookmarkStart w:id="377" w:name="Tc_2cLOJojv5kaFVbM2rYeycw_8_2"/>
      <w:bookmarkStart w:id="378" w:name="Tc_R8ZFVahz-0G0lvHFE8Sc_Q_8_0"/>
      <w:bookmarkStart w:id="379" w:name="Tc_BLnbU0q03EuFAuq7ZOlHIA_7_19"/>
      <w:bookmarkStart w:id="380" w:name="Tc_zyFqR5ev-kuaStPMLLQS8g_7_16"/>
      <w:bookmarkStart w:id="381" w:name="Tc_poogXGBw1EuyaAFP7nd9gg_7_10"/>
      <w:bookmarkStart w:id="382" w:name="Tc_kZWk-t8ONEC8AuZl_9NPAA_7_7"/>
      <w:bookmarkStart w:id="383" w:name="Tc_PL0XlhJlakepOoTbGr6byw_7_5"/>
      <w:bookmarkStart w:id="384" w:name="Tc_co6NlJ_cfUCx1bT5Tp93SQ_7_2"/>
      <w:bookmarkStart w:id="385" w:name="Tc_GF8m5CXlYEi2rX4QhMp7mA_7_0"/>
      <w:bookmarkStart w:id="386" w:name="Tc_zo8yV7P8ikOsqTe3h-2Tpw_6_19"/>
      <w:bookmarkStart w:id="387" w:name="Tc_gbinpk-js0ubMFjjJlH63g_6_16"/>
      <w:bookmarkStart w:id="388" w:name="Tc_xl9NQWYTpE2443g9CeikvQ_6_10"/>
      <w:bookmarkStart w:id="389" w:name="Tc_huCnMIY_DEGK-lfIKmZrbw_6_7"/>
      <w:bookmarkStart w:id="390" w:name="Tc_QSBOF0OcuU6EVdZAdehjZg_6_0"/>
      <w:bookmarkStart w:id="391" w:name="Tc_2p-345HeVE-0y0FheMJZtw_5_21"/>
      <w:bookmarkStart w:id="392" w:name="Tc_rcXYhWTbrkCDKyHAPr0Q9Q_5_18"/>
      <w:bookmarkStart w:id="393" w:name="Tc_2-A0YPWWVkaI47dAkMlaqQ_5_15"/>
      <w:bookmarkStart w:id="394" w:name="Tc_E9sA0xtuHk6yU8_Cppww8A_5_12"/>
      <w:bookmarkStart w:id="395" w:name="Tc_Z-Y_LqX-aUalT9QUUDJtgg_5_9"/>
      <w:bookmarkStart w:id="396" w:name="Tc_MT6RXKMhc0-DkYJd0luiLQ_5_4"/>
      <w:bookmarkStart w:id="397" w:name="Tc_P74-gDV21EO2MyYbMOHdiw_5_0"/>
      <w:bookmarkStart w:id="398" w:name="Tc_IvYoXwkBxUm4IUWDj_EHEw_4_21"/>
      <w:bookmarkStart w:id="399" w:name="Tc_o6wYK4cTwEueUVeWB0-Enw_4_18"/>
      <w:bookmarkStart w:id="400" w:name="Tc_X0OE_yh6IUWtWLPxBMlIOw_4_15"/>
      <w:bookmarkStart w:id="401" w:name="Tc_KPylEgp-bUy8G8Cjnh-LAg_4_12"/>
      <w:bookmarkStart w:id="402" w:name="Tc_abWapyS4GUiAn59NkgviIA_4_9"/>
      <w:bookmarkStart w:id="403" w:name="Tc_3eBr7fkkskihdK6wQlzMyA_4_7"/>
      <w:bookmarkStart w:id="404" w:name="Tc_YcRLXzBfHUmoVWd-H1vVCg_4_4"/>
      <w:bookmarkStart w:id="405" w:name="Tc_VIjIhIys10OACrxWtWcPag_4_2"/>
      <w:bookmarkStart w:id="406" w:name="Tc_9Ub7GbXOREmE0sfy3lyPxg_3_18"/>
      <w:bookmarkStart w:id="407" w:name="Tc_XSRteLkVmU2LPXnJjQVGzQ_3_15"/>
      <w:bookmarkStart w:id="408" w:name="Tc_NMnqi6N2vE2hfRGlFmsDZQ_3_12"/>
      <w:bookmarkStart w:id="409" w:name="Tc_2ZEVINdgg0mo59ElV070cw_3_7"/>
      <w:bookmarkStart w:id="410" w:name="Tc_NebJt502_E2SDeg10z3YfQ_3_2"/>
      <w:bookmarkStart w:id="411" w:name="Tc_c3Lp7XP4Z0qg9l84YhjGYA_2_18"/>
      <w:bookmarkStart w:id="412" w:name="Tc_Gha7pzeA9ESy0S1ugkAX7Q_2_15"/>
      <w:bookmarkStart w:id="413" w:name="Tc_l2wgCav5PEey5h5OtFDjmg_2_12"/>
      <w:bookmarkStart w:id="414" w:name="Tc_W9wIgtaGVEeJiDNVAe95rw_1_18"/>
      <w:bookmarkStart w:id="415" w:name="Tc_xbR9cENMl0OxdtRgdnl3mQ_1_15"/>
      <w:bookmarkStart w:id="416" w:name="_74021110_b67e_41ff_819c_649727c391bc"/>
      <w:bookmarkStart w:id="417" w:name="Tc_MOjV6YlLvkeKN_3eH4PsYg_27_21"/>
      <w:bookmarkStart w:id="418" w:name="Tc_IVrep4GvD0OrxuezklR4tA_27_18"/>
      <w:bookmarkStart w:id="419" w:name="Tc_Y86_z42-jk2aeIWmt70NFQ_27_15"/>
      <w:bookmarkStart w:id="420" w:name="Tc_e-iX5PQ2Wkmtd_aqB6VDBQ_27_12"/>
      <w:bookmarkStart w:id="421" w:name="Tc__bvSyWvUUUiv8t-TBSQjvA_27_9"/>
      <w:bookmarkStart w:id="422" w:name="Tc_tLuNuY2fgUaU1lgz0gjYHg_27_4"/>
      <w:bookmarkStart w:id="423" w:name="Tc_wdrYe4NbFkm8VuMtgyaHtg_27_0"/>
      <w:bookmarkStart w:id="424" w:name="Tc_U6ZVmv-8VkWNs59Ab-hTIg_26_16"/>
      <w:bookmarkStart w:id="425" w:name="Tc_pupPYGnD6EGjYTSZA96p9w_26_13"/>
      <w:bookmarkStart w:id="426" w:name="Tc_7rV48wNM_0OstvSpV7u2Bw_26_10"/>
      <w:bookmarkStart w:id="427" w:name="Tc_g_6yKdVg3ECcB8W4ulmPFQ_26_7"/>
      <w:bookmarkStart w:id="428" w:name="Tc_-HqU-ExoE0qucCG9UmGMeA_26_5"/>
      <w:bookmarkStart w:id="429" w:name="Tc_SGN6RSHApEe9nVg8MmfrgA_26_2"/>
      <w:bookmarkStart w:id="430" w:name="Tc_3sszJQ3HuEq9SfcTsD-S2Q_26_0"/>
      <w:bookmarkStart w:id="431" w:name="Tc_oyn2zYD0jEa5qb4rAo0eeA_25_0"/>
      <w:bookmarkStart w:id="432" w:name="Tc_Imql6dQOo0Sx42pMoiiGMg_24_19"/>
      <w:bookmarkStart w:id="433" w:name="Tc_PzaI_gtcy0afHFb7eKX5OA_24_13"/>
      <w:bookmarkStart w:id="434" w:name="Tc_FsKmt4GrYE2cTj2s5QVcpA_24_10"/>
      <w:bookmarkStart w:id="435" w:name="Tc_6-6z6kJ3z0u8ttjHyNg6VQ_24_7"/>
      <w:bookmarkStart w:id="436" w:name="Tc_wk31SsDCCU6AnWMXa1_EJg_24_5"/>
      <w:bookmarkStart w:id="437" w:name="Tc_PWAu7ObGTUqsL5Emv09iWQ_24_2"/>
      <w:bookmarkStart w:id="438" w:name="Tc_EddrETBnxkmJAXbjCgZ5Aw_24_0"/>
      <w:bookmarkStart w:id="439" w:name="Tc_daSkAxzpy0eOE6IXWtpYCw_23_19"/>
      <w:bookmarkStart w:id="440" w:name="Tc_Rrcgv4njLU6ZTfnyZ9KvpA_23_13"/>
      <w:bookmarkStart w:id="441" w:name="Tc_w_o3h5kxHki01azcMRw9fA_23_10"/>
      <w:bookmarkStart w:id="442" w:name="Tc__d0biqahAE-5PRzt1685UA_23_7"/>
      <w:bookmarkStart w:id="443" w:name="Tc_85-F6Rv1bUeGzhvoSbNhQA_23_5"/>
      <w:bookmarkStart w:id="444" w:name="Tc_KtDN3D9P0UeKvLc7mFBx0A_23_2"/>
      <w:bookmarkStart w:id="445" w:name="Tc_qnEcuSBat02JWn8hIv6-zQ_23_0"/>
      <w:bookmarkStart w:id="446" w:name="Tc_r6ly1VYqk02b4GlZXFZVsQ_22_19"/>
      <w:bookmarkStart w:id="447" w:name="Tc_SQWKuV-VakalMWCIeCVqvg_22_16"/>
      <w:bookmarkStart w:id="448" w:name="Tc_XiWyChIFIEWiO_h3h3vlYw_22_13"/>
      <w:bookmarkStart w:id="449" w:name="Tc_wa8VnvTdf0G5dYuF3n7Blw_22_5"/>
      <w:bookmarkStart w:id="450" w:name="Tc_4eU9WJaZCE-0M-WtcsCwHA_22_2"/>
      <w:bookmarkStart w:id="451" w:name="Tc_tcDqIVeIp06soHxjseWgPQ_22_0"/>
      <w:bookmarkStart w:id="452" w:name="Tc_haLao4IR4EWmN78F3XEKLg_21_19"/>
      <w:bookmarkStart w:id="453" w:name="Tc_vCiLagJ7Qk-fqrhho7LtVQ_21_16"/>
      <w:bookmarkStart w:id="454" w:name="Tc_Tef-3zY9sUKNY6cwDW5f5A_21_10"/>
      <w:bookmarkStart w:id="455" w:name="Tc_jEhbHr_P_U253bm-fsG4MA_21_7"/>
      <w:bookmarkStart w:id="456" w:name="Tc_I0lpTfb0GEmPt3zcYMHpAw_21_5"/>
      <w:bookmarkStart w:id="457" w:name="Tc_vEMHWOpjGUWgNVQQbDy2kw_21_2"/>
      <w:bookmarkStart w:id="458" w:name="Tc_Zlu8hsIA-kezk4pJQu_B_w_21_0"/>
      <w:bookmarkStart w:id="459" w:name="Tc_Ar0nnKvrnkOoEsmlvpP7rw_20_19"/>
      <w:bookmarkStart w:id="460" w:name="Tc_58X7QzFRX0KtSgdlS8uiFg_20_16"/>
      <w:bookmarkStart w:id="461" w:name="Tc_Pj3UeoFM-0ya93o16Mddng_20_10"/>
      <w:bookmarkStart w:id="462" w:name="Tc_X673USbYC06ti7E-jFgnNw_20_7"/>
      <w:bookmarkStart w:id="463" w:name="Tc_496qZKePKEWeIl9nInJefA_20_0"/>
      <w:bookmarkStart w:id="464" w:name="Tc_XERuxJlzYUOqAWFj-oaw8w_19_21"/>
      <w:bookmarkStart w:id="465" w:name="Tc_99FsdBG_AUefrKjAxAnajA_19_18"/>
      <w:bookmarkStart w:id="466" w:name="Tc_L1KX6_SOAUKOAmyA1yR8Iw_19_15"/>
      <w:bookmarkStart w:id="467" w:name="Tc_3AoPz_0pkkyeP3pkqNMjhw_19_12"/>
      <w:bookmarkStart w:id="468" w:name="Tc_7Tk9M24hRECLmacVP3WPnA_19_9"/>
      <w:bookmarkStart w:id="469" w:name="Tc_eOxkW2jaX069P-xZjWJNQg_19_4"/>
      <w:bookmarkStart w:id="470" w:name="Tc_pUq5PiJEGk2XG-n9rNb7Uw_19_0"/>
      <w:bookmarkStart w:id="471" w:name="Tc_VgyQciDhvEaFqaJ9rbLeRg_17_21"/>
      <w:bookmarkStart w:id="472" w:name="Tc_1dY1VrEg80uRtlm1KCKbqg_17_18"/>
      <w:bookmarkStart w:id="473" w:name="Tc_NTn-JqWfAkW4boB1Jw7YsA_17_15"/>
      <w:bookmarkStart w:id="474" w:name="Tc_Dc6QRiv7DUmRxKiL0g4mjA_17_12"/>
      <w:bookmarkStart w:id="475" w:name="Tc_iVRYYKitR0mNjTFiJiEZwg_17_9"/>
      <w:bookmarkStart w:id="476" w:name="Tc_jnw3E1NuaUKZI9ARKHVITA_17_4"/>
      <w:bookmarkStart w:id="477" w:name="Tc_yd_LjZA_00aiTFrtnm9hhg_17_0"/>
      <w:bookmarkStart w:id="478" w:name="Tc_ja07GlIkdUijoffJmmQyfw_16_16"/>
      <w:bookmarkStart w:id="479" w:name="Tc_5xLRQBRWU0yvHo44zxiHOA_16_13"/>
      <w:bookmarkStart w:id="480" w:name="Tc_Wstc-4r_F0Wmqsc9D-mSUQ_16_10"/>
      <w:bookmarkStart w:id="481" w:name="Tc_s1ZXVek3UkiaDG1bXLnk8w_16_7"/>
      <w:bookmarkStart w:id="482" w:name="Tc_Dk8e_AdPY0mc76rwMFPc-g_16_5"/>
      <w:bookmarkStart w:id="483" w:name="Tc_g5Sbg9MnGEyzi22PQWr9mQ_16_2"/>
      <w:bookmarkStart w:id="484" w:name="Tc_mh2tnQXCqEmPqywLypGYMQ_16_0"/>
      <w:bookmarkStart w:id="485" w:name="Tc_gyBm6BQlb0CHeFUMwacB9A_15_19"/>
      <w:bookmarkStart w:id="486" w:name="Tc_VXwmDbErokCcwKIybiLFyA_15_13"/>
      <w:bookmarkStart w:id="487" w:name="Tc_o1eP1wYXbkKWlz67sVqA2A_15_10"/>
      <w:bookmarkStart w:id="488" w:name="Tc_TM49QS4FfUqFRe9CpqjlYQ_15_7"/>
      <w:bookmarkStart w:id="489" w:name="Tc_6z9pDirBLUOE4bB_VW3N9w_15_5"/>
      <w:bookmarkStart w:id="490" w:name="Tc_B7PK90jf-U6Spm_1zwaJTw_15_2"/>
      <w:bookmarkStart w:id="491" w:name="Tc_9h-bOemALkCDtyQq2QZDsA_15_0"/>
      <w:bookmarkStart w:id="492" w:name="Tc_Cn7QpcWiZ0OF5W-D9X4WiA_14_19"/>
      <w:bookmarkStart w:id="493" w:name="Tc_FcudlJfTA0ysWjrgR3ZYZQ_14_13"/>
      <w:bookmarkStart w:id="494" w:name="Tc_Ix6koPX8gEuR22QKjFAKVg_14_10"/>
      <w:bookmarkStart w:id="495" w:name="Tc_Zt0dHYak_EuUuVyANKOQKw_14_7"/>
      <w:bookmarkStart w:id="496" w:name="Tc_kIJLx0o6T0mRrKYZqi3Uig_14_5"/>
      <w:bookmarkStart w:id="497" w:name="Tc_ACiQG0HdPkKoxQRcNiTBqA_14_2"/>
      <w:bookmarkStart w:id="498" w:name="Tc_nuWov34tF0iHAyBPMOcTEg_14_0"/>
      <w:bookmarkStart w:id="499" w:name="Tc_Y9QABlEGok2ne_3jooRrQQ_13_19"/>
      <w:bookmarkStart w:id="500" w:name="Tc_mZPW1Rjs6UuZZUpi53Wqog_13_13"/>
      <w:bookmarkStart w:id="501" w:name="Tc_twB8yosPY0euKAzvsrln4g_13_10"/>
      <w:bookmarkStart w:id="502" w:name="Tc_gplRWBndU0SbqYUOBRX-MQ_13_7"/>
      <w:bookmarkStart w:id="503" w:name="Tc_MqyBi3D5f0qGBR2ppBXVxA_13_5"/>
      <w:bookmarkStart w:id="504" w:name="Tc_EjyKfOYfl0GZRNFavHAFfA_13_2"/>
      <w:bookmarkStart w:id="505" w:name="Tc_pHBO-wwiJ06mXZBno24kcw_13_0"/>
      <w:bookmarkStart w:id="506" w:name="Tc_XTq9317exE2Lfgfcdxpxkg_12_19"/>
      <w:bookmarkStart w:id="507" w:name="Tc_kShMMf9v4UK_BYaESJa8Kg_12_13"/>
      <w:bookmarkStart w:id="508" w:name="Tc_MLE2AdGV8UKQKZqn-t495Q_12_10"/>
      <w:bookmarkStart w:id="509" w:name="Tc_wMOLcJju4EqWBYuhqSKH_Q_12_7"/>
      <w:bookmarkStart w:id="510" w:name="Tc_myPKhy62HEuMr5XsQzejSw_12_5"/>
      <w:bookmarkStart w:id="511" w:name="Tc_S5dupEPssU2qsb07ZPXNlA_12_2"/>
      <w:bookmarkStart w:id="512" w:name="Tc_yGj2pSum2E6N_W-IiwNrYg_12_0"/>
      <w:bookmarkStart w:id="513" w:name="Tc_PmnrHKM6dUaTU5JDnrijWw_11_19"/>
      <w:bookmarkStart w:id="514" w:name="Tc_JvQBiVd0dEe7w_ub13r3EQ_11_13"/>
      <w:bookmarkStart w:id="515" w:name="Tc_x8-JSTir3UumrG1D2NDN1A_11_10"/>
      <w:bookmarkStart w:id="516" w:name="Tc_EG_XkGMd5UibDvx7eli1Sg_11_7"/>
      <w:bookmarkStart w:id="517" w:name="Tc_hKte-g0XIUKpqoeQnr8VwA_11_5"/>
      <w:bookmarkStart w:id="518" w:name="Tc_oL78fd64QEShIeWRn20emA_11_2"/>
      <w:bookmarkStart w:id="519" w:name="Tc_XZIScPlZCkuOc2zTpPFGGg_11_0"/>
      <w:bookmarkStart w:id="520" w:name="Tc_vBNackSb2kWb4C72SIQ0Cg_10_19"/>
      <w:bookmarkStart w:id="521" w:name="Tc_2SVFX3DoWkq1j23YV2AgTg_10_13"/>
      <w:bookmarkStart w:id="522" w:name="Tc_Gq-tczy0i0W2r_Bnqhq71Q_10_10"/>
      <w:bookmarkStart w:id="523" w:name="Tc_Q3Y81rATuEWdAVUEVa6RaA_10_7"/>
      <w:bookmarkStart w:id="524" w:name="Tc_Y4kBIBtmlk-VFpWmJdyJWw_10_5"/>
      <w:bookmarkStart w:id="525" w:name="Tc_NfaZIZo4xUKEOdLbgY5E5w_10_2"/>
      <w:bookmarkStart w:id="526" w:name="Tc_0m5pS0F30kajTJ7ViD1tCw_10_0"/>
      <w:bookmarkStart w:id="527" w:name="Tc_OigJLYr7REK08z35M0oj0w_9_19"/>
      <w:bookmarkStart w:id="528" w:name="Tc_A6y5iAr510yDmnynScIl5A_9_13"/>
      <w:bookmarkStart w:id="529" w:name="Tc_vsre3lgnw0Cp7xEMd-YzFQ_9_10"/>
      <w:bookmarkStart w:id="530" w:name="Tc_Ut7DWtqtIkurDGJqtxB7IQ_9_7"/>
      <w:bookmarkStart w:id="531" w:name="Tc_32HUyexs5U-MERRnLwKv0w_9_5"/>
      <w:bookmarkStart w:id="532" w:name="Tc_2UDxAQ7Y2Ui8TiItd9Dcyw_9_2"/>
      <w:bookmarkStart w:id="533" w:name="Tc_rg63zxPYv0qS8Glk58FuXA_9_0"/>
      <w:bookmarkStart w:id="534" w:name="Tc_b2UCvhBfmkSRDgPtGugDPg_8_19"/>
      <w:bookmarkStart w:id="535" w:name="Tc_PqmjuvLoHkW1g_G1H4OXUQ_8_16"/>
      <w:bookmarkStart w:id="536" w:name="Tc_QZZ4_DQ27kmFwj2d9lZAzw_8_13"/>
      <w:bookmarkStart w:id="537" w:name="Tc_H7s-3W1rUUCa466eVhyA6g_8_5"/>
      <w:bookmarkStart w:id="538" w:name="Tc_2cLOJojv5kaFVbM2rYeycw_8_2"/>
      <w:bookmarkStart w:id="539" w:name="Tc_R8ZFVahz-0G0lvHFE8Sc_Q_8_0"/>
      <w:bookmarkStart w:id="540" w:name="Tc_BLnbU0q03EuFAuq7ZOlHIA_7_19"/>
      <w:bookmarkStart w:id="541" w:name="Tc_zyFqR5ev-kuaStPMLLQS8g_7_16"/>
      <w:bookmarkStart w:id="542" w:name="Tc_poogXGBw1EuyaAFP7nd9gg_7_10"/>
      <w:bookmarkStart w:id="543" w:name="Tc_kZWk-t8ONEC8AuZl_9NPAA_7_7"/>
      <w:bookmarkStart w:id="544" w:name="Tc_PL0XlhJlakepOoTbGr6byw_7_5"/>
      <w:bookmarkStart w:id="545" w:name="Tc_co6NlJ_cfUCx1bT5Tp93SQ_7_2"/>
      <w:bookmarkStart w:id="546" w:name="Tc_GF8m5CXlYEi2rX4QhMp7mA_7_0"/>
      <w:bookmarkStart w:id="547" w:name="Tc_zo8yV7P8ikOsqTe3h-2Tpw_6_19"/>
      <w:bookmarkStart w:id="548" w:name="Tc_gbinpk-js0ubMFjjJlH63g_6_16"/>
      <w:bookmarkStart w:id="549" w:name="Tc_xl9NQWYTpE2443g9CeikvQ_6_10"/>
      <w:bookmarkStart w:id="550" w:name="Tc_huCnMIY_DEGK-lfIKmZrbw_6_7"/>
      <w:bookmarkStart w:id="551" w:name="Tc_QSBOF0OcuU6EVdZAdehjZg_6_0"/>
      <w:bookmarkStart w:id="552" w:name="Tc_2p-345HeVE-0y0FheMJZtw_5_21"/>
      <w:bookmarkStart w:id="553" w:name="Tc_rcXYhWTbrkCDKyHAPr0Q9Q_5_18"/>
      <w:bookmarkStart w:id="554" w:name="Tc_2-A0YPWWVkaI47dAkMlaqQ_5_15"/>
      <w:bookmarkStart w:id="555" w:name="Tc_E9sA0xtuHk6yU8_Cppww8A_5_12"/>
      <w:bookmarkStart w:id="556" w:name="Tc_Z-Y_LqX-aUalT9QUUDJtgg_5_9"/>
      <w:bookmarkStart w:id="557" w:name="Tc_MT6RXKMhc0-DkYJd0luiLQ_5_4"/>
      <w:bookmarkStart w:id="558" w:name="Tc_P74-gDV21EO2MyYbMOHdiw_5_0"/>
      <w:bookmarkStart w:id="559" w:name="Tc_IvYoXwkBxUm4IUWDj_EHEw_4_21"/>
      <w:bookmarkStart w:id="560" w:name="Tc_o6wYK4cTwEueUVeWB0-Enw_4_18"/>
      <w:bookmarkStart w:id="561" w:name="Tc_X0OE_yh6IUWtWLPxBMlIOw_4_15"/>
      <w:bookmarkStart w:id="562" w:name="Tc_KPylEgp-bUy8G8Cjnh-LAg_4_12"/>
      <w:bookmarkStart w:id="563" w:name="Tc_abWapyS4GUiAn59NkgviIA_4_9"/>
      <w:bookmarkStart w:id="564" w:name="Tc_3eBr7fkkskihdK6wQlzMyA_4_7"/>
      <w:bookmarkStart w:id="565" w:name="Tc_YcRLXzBfHUmoVWd-H1vVCg_4_4"/>
      <w:bookmarkStart w:id="566" w:name="Tc_VIjIhIys10OACrxWtWcPag_4_2"/>
      <w:bookmarkStart w:id="567" w:name="Tc_9Ub7GbXOREmE0sfy3lyPxg_3_18"/>
      <w:bookmarkStart w:id="568" w:name="Tc_XSRteLkVmU2LPXnJjQVGzQ_3_15"/>
      <w:bookmarkStart w:id="569" w:name="Tc_NMnqi6N2vE2hfRGlFmsDZQ_3_12"/>
      <w:bookmarkStart w:id="570" w:name="Tc_2ZEVINdgg0mo59ElV070cw_3_7"/>
      <w:bookmarkStart w:id="571" w:name="Tc_NebJt502_E2SDeg10z3YfQ_3_2"/>
      <w:bookmarkStart w:id="572" w:name="Tc_c3Lp7XP4Z0qg9l84YhjGYA_2_18"/>
      <w:bookmarkStart w:id="573" w:name="Tc_Gha7pzeA9ESy0S1ugkAX7Q_2_15"/>
      <w:bookmarkStart w:id="574" w:name="Tc_l2wgCav5PEey5h5OtFDjmg_2_12"/>
      <w:bookmarkStart w:id="575" w:name="Tc_W9wIgtaGVEeJiDNVAe95rw_1_18"/>
      <w:bookmarkStart w:id="576" w:name="Tc_xbR9cENMl0OxdtRgdnl3mQ_1_15"/>
      <w:bookmarkStart w:id="577" w:name="_74021110_b67e_41ff_819c_649727c391bc"/>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tbl>
      <w:tblPr>
        <w:tblW w:w="12090" w:type="dxa"/>
        <w:jc w:val="left"/>
        <w:tblInd w:w="0" w:type="dxa"/>
        <w:tblLayout w:type="fixed"/>
        <w:tblCellMar>
          <w:top w:w="0" w:type="dxa"/>
          <w:left w:w="0" w:type="dxa"/>
          <w:bottom w:w="0" w:type="dxa"/>
          <w:right w:w="0" w:type="dxa"/>
        </w:tblCellMar>
      </w:tblPr>
      <w:tblGrid>
        <w:gridCol w:w="1336"/>
        <w:gridCol w:w="326"/>
        <w:gridCol w:w="1006"/>
        <w:gridCol w:w="326"/>
        <w:gridCol w:w="326"/>
        <w:gridCol w:w="511"/>
        <w:gridCol w:w="326"/>
        <w:gridCol w:w="976"/>
        <w:gridCol w:w="326"/>
        <w:gridCol w:w="326"/>
        <w:gridCol w:w="751"/>
        <w:gridCol w:w="326"/>
        <w:gridCol w:w="202"/>
        <w:gridCol w:w="714"/>
        <w:gridCol w:w="326"/>
        <w:gridCol w:w="277"/>
        <w:gridCol w:w="939"/>
        <w:gridCol w:w="326"/>
        <w:gridCol w:w="248"/>
        <w:gridCol w:w="878"/>
        <w:gridCol w:w="326"/>
        <w:gridCol w:w="196"/>
        <w:gridCol w:w="79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848360" cy="175260"/>
                      <wp:effectExtent l="0" t="0" r="0" b="0"/>
                      <wp:wrapNone/>
                      <wp:docPr id="16" name="Frame15"/>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38810" cy="175260"/>
                      <wp:effectExtent l="0" t="0" r="0" b="0"/>
                      <wp:wrapNone/>
                      <wp:docPr id="18" name="Frame1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24485" cy="175260"/>
                      <wp:effectExtent l="0" t="0" r="0" b="0"/>
                      <wp:wrapNone/>
                      <wp:docPr id="21" name="Frame2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19760" cy="175260"/>
                      <wp:effectExtent l="0" t="0" r="0" b="0"/>
                      <wp:wrapNone/>
                      <wp:docPr id="23" name="Frame2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76885" cy="175260"/>
                      <wp:effectExtent l="0" t="0" r="0" b="0"/>
                      <wp:wrapNone/>
                      <wp:docPr id="26" name="Frame2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8270" cy="175260"/>
                      <wp:effectExtent l="0" t="0" r="0" b="0"/>
                      <wp:wrapNone/>
                      <wp:docPr id="28" name="Frame27"/>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53390" cy="175260"/>
                      <wp:effectExtent l="0" t="0" r="0" b="0"/>
                      <wp:wrapNone/>
                      <wp:docPr id="29" name="Frame2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5895" cy="175260"/>
                      <wp:effectExtent l="0" t="0" r="0" b="0"/>
                      <wp:wrapNone/>
                      <wp:docPr id="31" name="Frame3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6265" cy="175260"/>
                      <wp:effectExtent l="0" t="0" r="0" b="0"/>
                      <wp:wrapNone/>
                      <wp:docPr id="32" name="Frame31"/>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7480" cy="175260"/>
                      <wp:effectExtent l="0" t="0" r="0" b="0"/>
                      <wp:wrapNone/>
                      <wp:docPr id="34" name="Frame3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57530" cy="175260"/>
                      <wp:effectExtent l="0" t="0" r="0" b="0"/>
                      <wp:wrapNone/>
                      <wp:docPr id="35" name="Frame3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05460" cy="175260"/>
                      <wp:effectExtent l="0" t="0" r="0" b="0"/>
                      <wp:wrapNone/>
                      <wp:docPr id="38" name="Frame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02" w:type="dxa"/>
            <w:tcBorders/>
            <w:vAlign w:val="center"/>
          </w:tcPr>
          <w:p>
            <w:pPr>
              <w:pStyle w:val="TableContents"/>
              <w:bidi w:val="0"/>
              <w:spacing w:before="0" w:after="1"/>
              <w:ind w:left="0" w:right="0" w:hanging="0"/>
              <w:jc w:val="center"/>
              <w:rPr/>
            </w:pPr>
            <w:r>
              <w:rPr/>
              <w:t>​</w:t>
            </w:r>
          </w:p>
        </w:tc>
        <w:tc>
          <w:tcPr>
            <w:tcW w:w="71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23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395,965,588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(35,872,339)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(193,724)</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821,196</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(12,609)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105,967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724,790</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options and vested RSUs, net of taxes paid related to settlement of equity awards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4,295,764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(5,821)</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(5,778)</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19,370</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19,370</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(1,880,309)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(16,978)</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(16,978)</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available-for-sale debt securities,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7,239</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expense on unrealized gains on available-for-sale debt securities,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(1,605)</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(1,605)</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cash flow hedges,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(1,787)</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(1,787)</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benefit on unrealized losses on cash flow hedges,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interest rate floor,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6,021</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expense on unrealized gains on interest rate floor,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(1,276)</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(1,276)</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20,577</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20,577</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400,261,352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4,003</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(37,752,648)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(210,702)</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834,745</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(3,859)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126,544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750,731</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368,655,185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3,687</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(11,064,692)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(56,936)</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732,894</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664,273</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options and vested RSUs, net of taxes paid related to settlement of equity awards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8,639,295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 </w:t>
            </w:r>
          </w:p>
        </w:tc>
        <w:tc>
          <w:tcPr>
            <w:tcW w:w="71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3,346</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3,432</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15,996</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15,996</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(10,533,934)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(51,160)</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(51,160)</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available-for-sale debt securities,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 </w:t>
            </w:r>
          </w:p>
        </w:tc>
        <w:tc>
          <w:tcPr>
            <w:tcW w:w="7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cash flow hedges,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expense on unrealized gains on cash flow hedges,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7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28,974</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377,294,480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3,773</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(21,598,626)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(108,096)</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752,236</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661,542</w:t>
            </w:r>
          </w:p>
        </w:tc>
      </w:tr>
    </w:tbl>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bookmarkStart w:id="578" w:name="CONDENSEDCONSOLIDATEDSTATEMENTSOFCASHFLO"/>
      <w:bookmarkStart w:id="579" w:name="_b52fbb13_631a_4c76_8eac_b20eca3850fa"/>
      <w:bookmarkEnd w:id="578"/>
      <w:bookmarkEnd w:id="579"/>
      <w:r>
        <w:rPr>
          <w:rFonts w:ascii="Times New Roman;Times;serif" w:hAnsi="Times New Roman;Times;serif"/>
          <w:sz w:val="18"/>
        </w:rPr>
        <w:t>CONDENSED CONSOLIDATED STATEMENTS OF CASH FLOWS (UNAUDITED)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U.S. DOLLARS IN THOUSANDS</w:t>
      </w:r>
    </w:p>
    <w:p>
      <w:pPr>
        <w:pStyle w:val="Normal"/>
        <w:bidi w:val="0"/>
        <w:spacing w:before="0" w:after="0"/>
        <w:jc w:val="left"/>
        <w:rPr>
          <w:sz w:val="4"/>
          <w:szCs w:val="4"/>
        </w:rPr>
      </w:pPr>
      <w:r>
        <w:rPr>
          <w:sz w:val="4"/>
          <w:szCs w:val="4"/>
        </w:rPr>
      </w:r>
      <w:bookmarkStart w:id="580" w:name="Tc_nNK6xA3qHECTTLxVqBnSeQ_54_6"/>
      <w:bookmarkStart w:id="581" w:name="Tc_QdOM-72PlkaM---fGy1j7g_54_5"/>
      <w:bookmarkStart w:id="582" w:name="Tc_U3pwNsRme0WQf81HadoMrA_54_2"/>
      <w:bookmarkStart w:id="583" w:name="Tc_kjAtMhworkCOGFofTt4inQ_54_0"/>
      <w:bookmarkStart w:id="584" w:name="Tc_I2vzVFwyDkuWDJFzRbyecA_53_5"/>
      <w:bookmarkStart w:id="585" w:name="Tc_djVFrqFuCkyD_hn-XiwVRw_53_3"/>
      <w:bookmarkStart w:id="586" w:name="Tc_Ubu0oiX_SkiJRgOAt2oGdQ_53_2"/>
      <w:bookmarkStart w:id="587" w:name="Tc_IcVD5FkAqkmHuldy0TRlMg_53_0"/>
      <w:bookmarkStart w:id="588" w:name="Tc_nqUAavv3GUKZNETW025ZBg_52_5"/>
      <w:bookmarkStart w:id="589" w:name="Tc_JtNrbKLAU0i3RMqtp34mNQ_52_2"/>
      <w:bookmarkStart w:id="590" w:name="Tc_m84uGmkCa067Ta2BB_uNNA_52_0"/>
      <w:bookmarkStart w:id="591" w:name="Tc_4O98p3wtPkGCnSDaX_wXrA_51_5"/>
      <w:bookmarkStart w:id="592" w:name="Tc_jcRHh9IR9kuDJilIvbRAlQ_51_3"/>
      <w:bookmarkStart w:id="593" w:name="Tc_MPkbAtaiZk235IwT3sHU_g_51_2"/>
      <w:bookmarkStart w:id="594" w:name="Tc_A8uj1PEWK0aHrFp2kmx0Cg_51_0"/>
      <w:bookmarkStart w:id="595" w:name="Tc_H-zjCUd4XEy6PpLQefzL4g_50_0"/>
      <w:bookmarkStart w:id="596" w:name="Tc_QBd7FFP3LUSkwoE3eYfR1Q_49_5"/>
      <w:bookmarkStart w:id="597" w:name="Tc_vDxJODl9Xkm2XVVnmw8RmA_49_2"/>
      <w:bookmarkStart w:id="598" w:name="Tc_e4BL9QYh2EKLblLR7eH4qg_49_0"/>
      <w:bookmarkStart w:id="599" w:name="Tc_x3v-VarkYEm35CaffmGRtA_48_0"/>
      <w:bookmarkStart w:id="600" w:name="Tc_7LaXo3Mo70qSUBfmzbSm2g_47_0"/>
      <w:bookmarkStart w:id="601" w:name="Tc_mZ6O79MIe0GRX9VsaD9abQ_45_0"/>
      <w:bookmarkStart w:id="602" w:name="Tc_4y105TErqUms_xFwkOC0Ag_43_0"/>
      <w:bookmarkStart w:id="603" w:name="Tc_Fz09bg5vHEGtiSCUrgLG9Q_42_0"/>
      <w:bookmarkStart w:id="604" w:name="Tc_QMyCKoYB1kqJ3SJJrLAICw_41_6"/>
      <w:bookmarkStart w:id="605" w:name="Tc_iwqV5wnG7kyMLmpMBHNWMQ_41_0"/>
      <w:bookmarkStart w:id="606" w:name="Tc_qkNuS67DNkGhTWPCG0wEwA_40_6"/>
      <w:bookmarkStart w:id="607" w:name="Tc_nyMU380W2k-h9oBM2x624w_40_0"/>
      <w:bookmarkStart w:id="608" w:name="Tc_LkV1P4fGhk6CE18CKW1Saw_39_3"/>
      <w:bookmarkStart w:id="609" w:name="Tc_fvzDXH91-kmV_vU3LMmAdw_39_0"/>
      <w:bookmarkStart w:id="610" w:name="Tc_KjrtiuNnQk6oimtWL6POEw_38_3"/>
      <w:bookmarkStart w:id="611" w:name="Tc_itascNAYTESECNA5HcTfJQ_38_0"/>
      <w:bookmarkStart w:id="612" w:name="Tc_LHeIRU4tv0q83pqfSokQMg_37_0"/>
      <w:bookmarkStart w:id="613" w:name="Tc__VZaQXm5QkmRiwi2-d7ryA_36_0"/>
      <w:bookmarkStart w:id="614" w:name="Tc_f61qljTaZEONuHdO-tBEcA_35_0"/>
      <w:bookmarkStart w:id="615" w:name="Tc_zDz4dTRiMU6YtOvElO4yMg_33_0"/>
      <w:bookmarkStart w:id="616" w:name="Tc_iub0lE3-7kGqAVy8Q0o8Yg_32_0"/>
      <w:bookmarkStart w:id="617" w:name="Tc_RT5MxMG1eEGJ28w8isqSsg_31_0"/>
      <w:bookmarkStart w:id="618" w:name="Tc_Mv2hTjMhWkuaBGntWNLL_Q_30_0"/>
      <w:bookmarkStart w:id="619" w:name="Tc_LOqSQ7RyRUKKE41g_M0FRw_29_0"/>
      <w:bookmarkStart w:id="620" w:name="Tc_jyjawj71qE2fKq2YqVrnkw_28_0"/>
      <w:bookmarkStart w:id="621" w:name="Tc_4FXyCYTKBk2QTWCGM4bW7Q_27_0"/>
      <w:bookmarkStart w:id="622" w:name="Tc_XX6hyPZEjEOAN6GlgMtTTw_26_0"/>
      <w:bookmarkStart w:id="623" w:name="Tc_nye20Tkr5U-dmIDSHmk2Sg_24_0"/>
      <w:bookmarkStart w:id="624" w:name="Tc_91yxaE4UGkiFpWmS3DB-Ew_23_0"/>
      <w:bookmarkStart w:id="625" w:name="Tc_swfgAWIBM0ukWOxnKu8MCA_22_0"/>
      <w:bookmarkStart w:id="626" w:name="Tc_pmkStHMDQUm25gslJ7jsMw_21_0"/>
      <w:bookmarkStart w:id="627" w:name="Tc_A77o7T8PUEOrC7ETy-ptBA_20_0"/>
      <w:bookmarkStart w:id="628" w:name="Tc_yAdUrnsZxkO1Efmpb-CCzQ_19_0"/>
      <w:bookmarkStart w:id="629" w:name="Tc__n-fQ-ZusUqaBgCxodLM9g_18_0"/>
      <w:bookmarkStart w:id="630" w:name="Tc_xvz8-Vo8yEydq1655upy3g_17_0"/>
      <w:bookmarkStart w:id="631" w:name="Tc_HXJnz99VcU-5OlEZqv4yEA_16_0"/>
      <w:bookmarkStart w:id="632" w:name="Tc_4H8RGu9gfUmmJLDMuH6phg_15_0"/>
      <w:bookmarkStart w:id="633" w:name="Tc_IhW3KUFevkGBU9natEz9gA_14_0"/>
      <w:bookmarkStart w:id="634" w:name="Tc_qBByjLYb8UmdFtgYEbzYsQ_13_0"/>
      <w:bookmarkStart w:id="635" w:name="Tc_nWnRrg1zlkWj9z8rPjuMEA_12_0"/>
      <w:bookmarkStart w:id="636" w:name="Tc_AIwp085L9k-zI14Hho0kBA_11_0"/>
      <w:bookmarkStart w:id="637" w:name="Tc_6KnHwTM_KUOOy1m4t5051A_10_3"/>
      <w:bookmarkStart w:id="638" w:name="Tc_IYh2kNBOfUeOhfD0sJrA_A_10_0"/>
      <w:bookmarkStart w:id="639" w:name="Tc_aZKN85pgmEynQ-xrprpxyQ_9_0"/>
      <w:bookmarkStart w:id="640" w:name="Tc_Lu3E1o337k6Vzh0IVPkOig_8_0"/>
      <w:bookmarkStart w:id="641" w:name="Tc_IZoPqNihnEW3GSFEo3K4Gw_7_0"/>
      <w:bookmarkStart w:id="642" w:name="Tc_RoM2-Xz6wky20TNum70IDA_6_0"/>
      <w:bookmarkStart w:id="643" w:name="Tc_B7zQ9JruZky7Fn4WWi9HyA_5_5"/>
      <w:bookmarkStart w:id="644" w:name="Tc_xb0stJnWGEa5VBXhajCn-g_5_2"/>
      <w:bookmarkStart w:id="645" w:name="Tc_BZ49K2BwmEey4ndYfRj5Wg_5_0"/>
      <w:bookmarkStart w:id="646" w:name="Tc_pZup5u3NskW8i2H7w_WZSw_4_0"/>
      <w:bookmarkStart w:id="647" w:name="Tc_mR_QJtiKVEatjVDIKLqvPg_3_5"/>
      <w:bookmarkStart w:id="648" w:name="Tc_2BZP-u-YT0OwDJmBVPJLjw_3_2"/>
      <w:bookmarkStart w:id="649" w:name="Tc_el3kjNCcrkOn9hnkITOQ7Q_2_2"/>
      <w:bookmarkStart w:id="650" w:name="Tc_XK6DrO0epE-4d5UWM2aj2w_1_2"/>
      <w:bookmarkStart w:id="651" w:name="_6ecd0a8c_0968_4174_9e39_368bb2aa88da"/>
      <w:bookmarkStart w:id="652" w:name="Tc_nNK6xA3qHECTTLxVqBnSeQ_54_6"/>
      <w:bookmarkStart w:id="653" w:name="Tc_QdOM-72PlkaM---fGy1j7g_54_5"/>
      <w:bookmarkStart w:id="654" w:name="Tc_U3pwNsRme0WQf81HadoMrA_54_2"/>
      <w:bookmarkStart w:id="655" w:name="Tc_kjAtMhworkCOGFofTt4inQ_54_0"/>
      <w:bookmarkStart w:id="656" w:name="Tc_I2vzVFwyDkuWDJFzRbyecA_53_5"/>
      <w:bookmarkStart w:id="657" w:name="Tc_djVFrqFuCkyD_hn-XiwVRw_53_3"/>
      <w:bookmarkStart w:id="658" w:name="Tc_Ubu0oiX_SkiJRgOAt2oGdQ_53_2"/>
      <w:bookmarkStart w:id="659" w:name="Tc_IcVD5FkAqkmHuldy0TRlMg_53_0"/>
      <w:bookmarkStart w:id="660" w:name="Tc_nqUAavv3GUKZNETW025ZBg_52_5"/>
      <w:bookmarkStart w:id="661" w:name="Tc_JtNrbKLAU0i3RMqtp34mNQ_52_2"/>
      <w:bookmarkStart w:id="662" w:name="Tc_m84uGmkCa067Ta2BB_uNNA_52_0"/>
      <w:bookmarkStart w:id="663" w:name="Tc_4O98p3wtPkGCnSDaX_wXrA_51_5"/>
      <w:bookmarkStart w:id="664" w:name="Tc_jcRHh9IR9kuDJilIvbRAlQ_51_3"/>
      <w:bookmarkStart w:id="665" w:name="Tc_MPkbAtaiZk235IwT3sHU_g_51_2"/>
      <w:bookmarkStart w:id="666" w:name="Tc_A8uj1PEWK0aHrFp2kmx0Cg_51_0"/>
      <w:bookmarkStart w:id="667" w:name="Tc_H-zjCUd4XEy6PpLQefzL4g_50_0"/>
      <w:bookmarkStart w:id="668" w:name="Tc_QBd7FFP3LUSkwoE3eYfR1Q_49_5"/>
      <w:bookmarkStart w:id="669" w:name="Tc_vDxJODl9Xkm2XVVnmw8RmA_49_2"/>
      <w:bookmarkStart w:id="670" w:name="Tc_e4BL9QYh2EKLblLR7eH4qg_49_0"/>
      <w:bookmarkStart w:id="671" w:name="Tc_x3v-VarkYEm35CaffmGRtA_48_0"/>
      <w:bookmarkStart w:id="672" w:name="Tc_7LaXo3Mo70qSUBfmzbSm2g_47_0"/>
      <w:bookmarkStart w:id="673" w:name="Tc_mZ6O79MIe0GRX9VsaD9abQ_45_0"/>
      <w:bookmarkStart w:id="674" w:name="Tc_4y105TErqUms_xFwkOC0Ag_43_0"/>
      <w:bookmarkStart w:id="675" w:name="Tc_Fz09bg5vHEGtiSCUrgLG9Q_42_0"/>
      <w:bookmarkStart w:id="676" w:name="Tc_QMyCKoYB1kqJ3SJJrLAICw_41_6"/>
      <w:bookmarkStart w:id="677" w:name="Tc_iwqV5wnG7kyMLmpMBHNWMQ_41_0"/>
      <w:bookmarkStart w:id="678" w:name="Tc_qkNuS67DNkGhTWPCG0wEwA_40_6"/>
      <w:bookmarkStart w:id="679" w:name="Tc_nyMU380W2k-h9oBM2x624w_40_0"/>
      <w:bookmarkStart w:id="680" w:name="Tc_LkV1P4fGhk6CE18CKW1Saw_39_3"/>
      <w:bookmarkStart w:id="681" w:name="Tc_fvzDXH91-kmV_vU3LMmAdw_39_0"/>
      <w:bookmarkStart w:id="682" w:name="Tc_KjrtiuNnQk6oimtWL6POEw_38_3"/>
      <w:bookmarkStart w:id="683" w:name="Tc_itascNAYTESECNA5HcTfJQ_38_0"/>
      <w:bookmarkStart w:id="684" w:name="Tc_LHeIRU4tv0q83pqfSokQMg_37_0"/>
      <w:bookmarkStart w:id="685" w:name="Tc__VZaQXm5QkmRiwi2-d7ryA_36_0"/>
      <w:bookmarkStart w:id="686" w:name="Tc_f61qljTaZEONuHdO-tBEcA_35_0"/>
      <w:bookmarkStart w:id="687" w:name="Tc_zDz4dTRiMU6YtOvElO4yMg_33_0"/>
      <w:bookmarkStart w:id="688" w:name="Tc_iub0lE3-7kGqAVy8Q0o8Yg_32_0"/>
      <w:bookmarkStart w:id="689" w:name="Tc_RT5MxMG1eEGJ28w8isqSsg_31_0"/>
      <w:bookmarkStart w:id="690" w:name="Tc_Mv2hTjMhWkuaBGntWNLL_Q_30_0"/>
      <w:bookmarkStart w:id="691" w:name="Tc_LOqSQ7RyRUKKE41g_M0FRw_29_0"/>
      <w:bookmarkStart w:id="692" w:name="Tc_jyjawj71qE2fKq2YqVrnkw_28_0"/>
      <w:bookmarkStart w:id="693" w:name="Tc_4FXyCYTKBk2QTWCGM4bW7Q_27_0"/>
      <w:bookmarkStart w:id="694" w:name="Tc_XX6hyPZEjEOAN6GlgMtTTw_26_0"/>
      <w:bookmarkStart w:id="695" w:name="Tc_nye20Tkr5U-dmIDSHmk2Sg_24_0"/>
      <w:bookmarkStart w:id="696" w:name="Tc_91yxaE4UGkiFpWmS3DB-Ew_23_0"/>
      <w:bookmarkStart w:id="697" w:name="Tc_swfgAWIBM0ukWOxnKu8MCA_22_0"/>
      <w:bookmarkStart w:id="698" w:name="Tc_pmkStHMDQUm25gslJ7jsMw_21_0"/>
      <w:bookmarkStart w:id="699" w:name="Tc_A77o7T8PUEOrC7ETy-ptBA_20_0"/>
      <w:bookmarkStart w:id="700" w:name="Tc_yAdUrnsZxkO1Efmpb-CCzQ_19_0"/>
      <w:bookmarkStart w:id="701" w:name="Tc__n-fQ-ZusUqaBgCxodLM9g_18_0"/>
      <w:bookmarkStart w:id="702" w:name="Tc_xvz8-Vo8yEydq1655upy3g_17_0"/>
      <w:bookmarkStart w:id="703" w:name="Tc_HXJnz99VcU-5OlEZqv4yEA_16_0"/>
      <w:bookmarkStart w:id="704" w:name="Tc_4H8RGu9gfUmmJLDMuH6phg_15_0"/>
      <w:bookmarkStart w:id="705" w:name="Tc_IhW3KUFevkGBU9natEz9gA_14_0"/>
      <w:bookmarkStart w:id="706" w:name="Tc_qBByjLYb8UmdFtgYEbzYsQ_13_0"/>
      <w:bookmarkStart w:id="707" w:name="Tc_nWnRrg1zlkWj9z8rPjuMEA_12_0"/>
      <w:bookmarkStart w:id="708" w:name="Tc_AIwp085L9k-zI14Hho0kBA_11_0"/>
      <w:bookmarkStart w:id="709" w:name="Tc_6KnHwTM_KUOOy1m4t5051A_10_3"/>
      <w:bookmarkStart w:id="710" w:name="Tc_IYh2kNBOfUeOhfD0sJrA_A_10_0"/>
      <w:bookmarkStart w:id="711" w:name="Tc_aZKN85pgmEynQ-xrprpxyQ_9_0"/>
      <w:bookmarkStart w:id="712" w:name="Tc_Lu3E1o337k6Vzh0IVPkOig_8_0"/>
      <w:bookmarkStart w:id="713" w:name="Tc_IZoPqNihnEW3GSFEo3K4Gw_7_0"/>
      <w:bookmarkStart w:id="714" w:name="Tc_RoM2-Xz6wky20TNum70IDA_6_0"/>
      <w:bookmarkStart w:id="715" w:name="Tc_B7zQ9JruZky7Fn4WWi9HyA_5_5"/>
      <w:bookmarkStart w:id="716" w:name="Tc_xb0stJnWGEa5VBXhajCn-g_5_2"/>
      <w:bookmarkStart w:id="717" w:name="Tc_BZ49K2BwmEey4ndYfRj5Wg_5_0"/>
      <w:bookmarkStart w:id="718" w:name="Tc_pZup5u3NskW8i2H7w_WZSw_4_0"/>
      <w:bookmarkStart w:id="719" w:name="Tc_mR_QJtiKVEatjVDIKLqvPg_3_5"/>
      <w:bookmarkStart w:id="720" w:name="Tc_2BZP-u-YT0OwDJmBVPJLjw_3_2"/>
      <w:bookmarkStart w:id="721" w:name="Tc_el3kjNCcrkOn9hnkITOQ7Q_2_2"/>
      <w:bookmarkStart w:id="722" w:name="Tc_XK6DrO0epE-4d5UWM2aj2w_1_2"/>
      <w:bookmarkStart w:id="723" w:name="_6ecd0a8c_0968_4174_9e39_368bb2aa88da"/>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tbl>
      <w:tblPr>
        <w:tblW w:w="10205" w:type="dxa"/>
        <w:jc w:val="left"/>
        <w:tblInd w:w="0" w:type="dxa"/>
        <w:tblLayout w:type="fixed"/>
        <w:tblCellMar>
          <w:top w:w="0" w:type="dxa"/>
          <w:left w:w="0" w:type="dxa"/>
          <w:bottom w:w="0" w:type="dxa"/>
          <w:right w:w="0" w:type="dxa"/>
        </w:tblCellMar>
      </w:tblPr>
      <w:tblGrid>
        <w:gridCol w:w="7644"/>
        <w:gridCol w:w="326"/>
        <w:gridCol w:w="196"/>
        <w:gridCol w:w="826"/>
        <w:gridCol w:w="146"/>
        <w:gridCol w:w="196"/>
        <w:gridCol w:w="871"/>
      </w:tblGrid>
      <w:tr>
        <w:trPr/>
        <w:tc>
          <w:tcPr>
            <w:tcW w:w="7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853940" cy="175260"/>
                      <wp:effectExtent l="0" t="0" r="0" b="0"/>
                      <wp:wrapNone/>
                      <wp:docPr id="39" name="Frame38"/>
                      <a:graphic xmlns:a="http://schemas.openxmlformats.org/drawingml/2006/main">
                        <a:graphicData uri="http://schemas.microsoft.com/office/word/2010/wordprocessingShape">
                          <wps:wsp>
                            <wps:cNvSpPr txBox="1"/>
                            <wps:spPr>
                              <a:xfrm>
                                <a:off x="0" y="0"/>
                                <a:ext cx="4853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4510" cy="175260"/>
                      <wp:effectExtent l="0" t="0" r="0" b="0"/>
                      <wp:wrapNone/>
                      <wp:docPr id="42" name="Frame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2710" cy="175260"/>
                      <wp:effectExtent l="0" t="0" r="0" b="0"/>
                      <wp:wrapNone/>
                      <wp:docPr id="43" name="Frame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53085" cy="175260"/>
                      <wp:effectExtent l="0" t="0" r="0" b="0"/>
                      <wp:wrapNone/>
                      <wp:docPr id="45" name="Frame4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6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6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20,577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28,974</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Adjustment to reconcile net income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14,390</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9,408</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(2,279)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(1,397)</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Stock-based compensation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18,755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15,077</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Gain from change in fair value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(1,761)</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Interest and amortization of discount on investments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(2,568)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(474)</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Foreign currency re-measurement loss (gain)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(1,811)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1,541</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16,158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Trade payables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(2,883)</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1,465</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2,555</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756</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Capital advance extended to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(84,078)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(80,173)</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Capital advance collected from customers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95,232</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73,533</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payables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(17,108)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(12,528)</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(781)</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2,669</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2,121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2,287</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(4,922)</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172</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53,716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39,510</w:t>
            </w:r>
          </w:p>
        </w:tc>
      </w:tr>
      <w:tr>
        <w:trPr/>
        <w:tc>
          <w:tcPr>
            <w:tcW w:w="76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 of property, equipment and software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(4,726)</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(1,616)</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Capitalization of internal use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(16,067)</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(14,055)</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Severance pay fund distributions,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Customer funds in transit,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(19,742)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154</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Purchases of investments in available-for-sale debt securities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(71,968)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(118,649)</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Maturities of investments in available-for-sale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64,500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20,000</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(47,986)</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(114,147)</w:t>
            </w:r>
          </w:p>
        </w:tc>
      </w:tr>
      <w:tr>
        <w:trPr/>
        <w:tc>
          <w:tcPr>
            <w:tcW w:w="76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issuance of common stock in connection with stock-based compensation plan, net of taxes paid related to settlement of equity awards and proceeds from employee equity transactions to be remitted to employees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(4,400)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3,432</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Outstanding operating balances,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(385,763)</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(469,602)</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Borrowings under related party facility (Refer to Notes 12 and 22 for further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5,378</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Repayments under related party facility (Refer to Notes 12 and 22 for further information)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(9,360)</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Receipts of collateral on interest rate derivatives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25,610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xml:space="preserve">Payments of collateral on interest rate derivatives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(20,140)</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Common stock repurchased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(17,753)</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(50,961)</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(402,446)</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(521,113)</w:t>
            </w:r>
          </w:p>
        </w:tc>
      </w:tr>
      <w:tr>
        <w:trPr/>
        <w:tc>
          <w:tcPr>
            <w:tcW w:w="76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Effect of exchange rate changes on 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1,878</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(1,541)</w:t>
            </w:r>
          </w:p>
        </w:tc>
      </w:tr>
      <w:tr>
        <w:trPr/>
        <w:tc>
          <w:tcPr>
            <w:tcW w:w="76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change in cash, cash equivalents, restricted cash and customer funds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(394,838)</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(597,291)</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cash equivalents, restricted cash and customer funds at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5,658,210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7,018,367</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cash equivalents, restricted cash and customer funds at end of period</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5,263,372</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6,421,076</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Supplemental information of investing and financing activities not involving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Property, equipment, and software acquired but not paid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700</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Internal use software capitalized but not paid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4,959</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5,216</w:t>
            </w:r>
          </w:p>
        </w:tc>
      </w:tr>
      <w:tr>
        <w:trPr/>
        <w:tc>
          <w:tcPr>
            <w:tcW w:w="7644"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Common stock repurchased but not paid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1,699</w:t>
            </w:r>
          </w:p>
        </w:tc>
      </w:tr>
      <w:tr>
        <w:trPr/>
        <w:tc>
          <w:tcPr>
            <w:tcW w:w="7644"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Right of use assets obtained in exchange for new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2,724</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724" w:name="_cd22eefa_455d_4e98_95ea_bbc7da3147ae"/>
      <w:bookmarkEnd w:id="724"/>
      <w:r>
        <w:rPr>
          <w:rFonts w:ascii="Times New Roman;Times;serif" w:hAnsi="Times New Roman;Times;serif"/>
          <w:sz w:val="20"/>
        </w:rPr>
        <w:t>CONDENSED CONSOLIDATED STATEMENTS OF CASH FLOWS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lineRule="atLeast" w:line="200" w:before="0" w:after="200"/>
        <w:ind w:left="0" w:right="0" w:hanging="0"/>
        <w:jc w:val="center"/>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below table reconciles cash, cash equivalents, restricted cash and customer funds as reported in the condensed consolidated balance sheets to the total of the same amounts shown in the condensed consolidated statements of cash flows:</w:t>
      </w:r>
    </w:p>
    <w:p>
      <w:pPr>
        <w:pStyle w:val="Normal"/>
        <w:bidi w:val="0"/>
        <w:spacing w:before="0" w:after="0"/>
        <w:jc w:val="left"/>
        <w:rPr>
          <w:sz w:val="4"/>
          <w:szCs w:val="4"/>
        </w:rPr>
      </w:pPr>
      <w:r>
        <w:rPr>
          <w:sz w:val="4"/>
          <w:szCs w:val="4"/>
        </w:rPr>
      </w:r>
      <w:bookmarkStart w:id="725" w:name="Tc_7sg0PSzs1EeSiC-gjhmQAw_14_5"/>
      <w:bookmarkStart w:id="726" w:name="Tc_zL98kIN5fUeMn4ILaVirCA_14_2"/>
      <w:bookmarkStart w:id="727" w:name="Tc_uTe14-zckEW7dMzyx7MJ1A_14_0"/>
      <w:bookmarkStart w:id="728" w:name="Tc_2F9Y6dKMekuc-zzDPzrD1A_13_0"/>
      <w:bookmarkStart w:id="729" w:name="Tc_vNm-rX_Ick-e753cq5IWeg_12_6"/>
      <w:bookmarkStart w:id="730" w:name="Tc_XtCq9BiYG0OasdhKyICk7w_12_0"/>
      <w:bookmarkStart w:id="731" w:name="Tc_UjF8tKL4i0--0mkqogelxg_11_0"/>
      <w:bookmarkStart w:id="732" w:name="Tc_nQmdZwfyykuJjNmUI0QbAg_10_0"/>
      <w:bookmarkStart w:id="733" w:name="Tc_atocpxh3nUKLAi1luCQlsA_9_0"/>
      <w:bookmarkStart w:id="734" w:name="Tc_wJzdej6VkEu1WcIsQWwE-g_8_6"/>
      <w:bookmarkStart w:id="735" w:name="Tc_brrrwxc3EE6UtwPExLdpcg_8_0"/>
      <w:bookmarkStart w:id="736" w:name="Tc_8ZJQnBhAKEq0Jc7nvtZrlg_7_0"/>
      <w:bookmarkStart w:id="737" w:name="Tc_z6F74w_1Xkmo5i5kzbqHPw_6_0"/>
      <w:bookmarkStart w:id="738" w:name="Tc_GK7LZjieZESHBWfIX8fS8w_5_0"/>
      <w:bookmarkStart w:id="739" w:name="Tc_M41XWsswokenyjBvFzxTDw_4_0"/>
      <w:bookmarkStart w:id="740" w:name="Tc_8ciON7VMZ0WeiZF-ZcRo6A_3_5"/>
      <w:bookmarkStart w:id="741" w:name="Tc_PvJi3q8JwUq9ohXLYi7W7Q_3_2"/>
      <w:bookmarkStart w:id="742" w:name="Tc_OaOxcdOObUe5OQXx8y6AAA_3_0"/>
      <w:bookmarkStart w:id="743" w:name="Tc_NBgklAm6BkWd8WYC74dddw_2_5"/>
      <w:bookmarkStart w:id="744" w:name="Tc_CqfFhLVUOEmLVU0wpXXjeg_2_2"/>
      <w:bookmarkStart w:id="745" w:name="Tc_LEHUMD7HFUOxq3SdMuqYJQ_1_2"/>
      <w:bookmarkStart w:id="746" w:name="_b4180bd4_1950_447f_abd7_28325c3bf330"/>
      <w:bookmarkStart w:id="747" w:name="Tc_7sg0PSzs1EeSiC-gjhmQAw_14_5"/>
      <w:bookmarkStart w:id="748" w:name="Tc_zL98kIN5fUeMn4ILaVirCA_14_2"/>
      <w:bookmarkStart w:id="749" w:name="Tc_uTe14-zckEW7dMzyx7MJ1A_14_0"/>
      <w:bookmarkStart w:id="750" w:name="Tc_2F9Y6dKMekuc-zzDPzrD1A_13_0"/>
      <w:bookmarkStart w:id="751" w:name="Tc_vNm-rX_Ick-e753cq5IWeg_12_6"/>
      <w:bookmarkStart w:id="752" w:name="Tc_XtCq9BiYG0OasdhKyICk7w_12_0"/>
      <w:bookmarkStart w:id="753" w:name="Tc_UjF8tKL4i0--0mkqogelxg_11_0"/>
      <w:bookmarkStart w:id="754" w:name="Tc_nQmdZwfyykuJjNmUI0QbAg_10_0"/>
      <w:bookmarkStart w:id="755" w:name="Tc_atocpxh3nUKLAi1luCQlsA_9_0"/>
      <w:bookmarkStart w:id="756" w:name="Tc_wJzdej6VkEu1WcIsQWwE-g_8_6"/>
      <w:bookmarkStart w:id="757" w:name="Tc_brrrwxc3EE6UtwPExLdpcg_8_0"/>
      <w:bookmarkStart w:id="758" w:name="Tc_8ZJQnBhAKEq0Jc7nvtZrlg_7_0"/>
      <w:bookmarkStart w:id="759" w:name="Tc_z6F74w_1Xkmo5i5kzbqHPw_6_0"/>
      <w:bookmarkStart w:id="760" w:name="Tc_GK7LZjieZESHBWfIX8fS8w_5_0"/>
      <w:bookmarkStart w:id="761" w:name="Tc_M41XWsswokenyjBvFzxTDw_4_0"/>
      <w:bookmarkStart w:id="762" w:name="Tc_8ciON7VMZ0WeiZF-ZcRo6A_3_5"/>
      <w:bookmarkStart w:id="763" w:name="Tc_PvJi3q8JwUq9ohXLYi7W7Q_3_2"/>
      <w:bookmarkStart w:id="764" w:name="Tc_OaOxcdOObUe5OQXx8y6AAA_3_0"/>
      <w:bookmarkStart w:id="765" w:name="Tc_NBgklAm6BkWd8WYC74dddw_2_5"/>
      <w:bookmarkStart w:id="766" w:name="Tc_CqfFhLVUOEmLVU0wpXXjeg_2_2"/>
      <w:bookmarkStart w:id="767" w:name="Tc_LEHUMD7HFUOxq3SdMuqYJQ_1_2"/>
      <w:bookmarkStart w:id="768" w:name="_b4180bd4_1950_447f_abd7_28325c3bf330"/>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tbl>
      <w:tblPr>
        <w:tblW w:w="10205" w:type="dxa"/>
        <w:jc w:val="left"/>
        <w:tblInd w:w="0" w:type="dxa"/>
        <w:tblLayout w:type="fixed"/>
        <w:tblCellMar>
          <w:top w:w="0" w:type="dxa"/>
          <w:left w:w="0" w:type="dxa"/>
          <w:bottom w:w="0" w:type="dxa"/>
          <w:right w:w="0" w:type="dxa"/>
        </w:tblCellMar>
      </w:tblPr>
      <w:tblGrid>
        <w:gridCol w:w="7066"/>
        <w:gridCol w:w="326"/>
        <w:gridCol w:w="211"/>
        <w:gridCol w:w="1028"/>
        <w:gridCol w:w="326"/>
        <w:gridCol w:w="211"/>
        <w:gridCol w:w="1037"/>
      </w:tblGrid>
      <w:tr>
        <w:trPr/>
        <w:tc>
          <w:tcPr>
            <w:tcW w:w="7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486910" cy="175260"/>
                      <wp:effectExtent l="0" t="0" r="0" b="0"/>
                      <wp:wrapNone/>
                      <wp:docPr id="46" name="Frame45"/>
                      <a:graphic xmlns:a="http://schemas.openxmlformats.org/drawingml/2006/main">
                        <a:graphicData uri="http://schemas.microsoft.com/office/word/2010/wordprocessingShape">
                          <wps:wsp>
                            <wps:cNvSpPr txBox="1"/>
                            <wps:spPr>
                              <a:xfrm>
                                <a:off x="0" y="0"/>
                                <a:ext cx="448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52780" cy="175260"/>
                      <wp:effectExtent l="0" t="0" r="0" b="0"/>
                      <wp:wrapNone/>
                      <wp:docPr id="49" name="Frame4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58495" cy="175260"/>
                      <wp:effectExtent l="0" t="0" r="0" b="0"/>
                      <wp:wrapNone/>
                      <wp:docPr id="52" name="Frame51"/>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r>
      <w:tr>
        <w:trPr/>
        <w:tc>
          <w:tcPr>
            <w:tcW w:w="7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524,150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587,180</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7,907</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6,025</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customer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6,053,390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5,920,924</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customer funds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funds shown in the condensed consolidated balance sheets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6,578,390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5,920,924</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Customer funds in transit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(1,837)</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Customer funds invested in available-for-sale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(99,123)</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Customer funds invested in term deposits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r>
      <w:tr>
        <w:trPr/>
        <w:tc>
          <w:tcPr>
            <w:tcW w:w="7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customer funds shown in the condensed consolidated statements of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4,713,560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5,819,964</w:t>
            </w:r>
          </w:p>
        </w:tc>
      </w:tr>
      <w:tr>
        <w:trPr/>
        <w:tc>
          <w:tcPr>
            <w:tcW w:w="7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restricted cash and customer funds shown in the condensed consolidated statements of cash flows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5,263,372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6,421,076</w:t>
            </w:r>
          </w:p>
        </w:tc>
      </w:tr>
    </w:tbl>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 xml:space="preserve">NOTES TO CONDENSED CONSOLIDATED FINANCIAL STATEMENTS (UNAUDITED) </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lineRule="atLeast" w:line="200"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769" w:name="NOTE1GENERALOVERVIEW_579271"/>
      <w:bookmarkStart w:id="770" w:name="_616909"/>
      <w:bookmarkEnd w:id="769"/>
      <w:bookmarkEnd w:id="770"/>
      <w:r>
        <w:rPr>
          <w:rFonts w:ascii="Times New Roman;Times;serif" w:hAnsi="Times New Roman;Times;serif"/>
          <w:b/>
          <w:sz w:val="20"/>
        </w:rPr>
        <w:t>NOTE 1 – GENERAL 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Unless otherwise noted herein, “we”, “us”, “our”, “Payoneer”, and the “Company” refer to Payoneer Global Inc.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Payoneer, incorporated in Delaware, empowers global commerce by connecting businesses, professionals, countries and currencies with its diversified cross-border payments platform. Payoneer enables small and medium-sized businesses (“SMB(s)”) around the globe to reach new audiences by reducing the complexity of cross-border trade, and facilitating seamless, cross-border payments. Payoneer offers its customers the flexibility to pay and get paid globally as easily as they do locally. The Company offers a global financial stack that includes cross-border AR/AP capabilities and includes services such as funds management, working capital, and multicurrency accounts. The fully hosted service includes various payment options with minimal integration required, full back-office functions and customer support offered.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a.    Principles of consolidation, basis of presentation and accounting principles: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are prepared in accordance with Generally Accepted Accounting Principles (“GAAP”) in the United States of America (hereafter – U.S. GAAP) and include the accounts of Payoneer Global Inc. and its wholly owned subsidiaries. All intercompany balances and transactions have been eliminated in consolidation.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consolidated interim financial information herein is unaudited; however, such information reflects all adjustments (consisting of normal, recurring adjustments), which are, in the opinion of management, necessary for a fair statement of results for the interim period. The results of operations for the three months ended March 31, 2025 are not necessarily indicative of the results to be expected for the full year. The year-end condensed balance sheet data was derived from audited financial statements for the year ended December 31, 2024, but does not include all disclosures required by accounting principles generally accepted in the United States of America. These unaudited financial statements should be read in conjunction with the audited consolidated financial statements and related notes thereto of Payoneer Global Inc. and its subsidiaries.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b.    Use of estimates in the preparation of financial statements: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Significant items subject to such estimates and assumptions include, but are not limited to, allowance for capital advance receivables, income taxes, goodwill, revenue recognition, stock-based compensation, contingent consideration associated with M&amp;A, and loss contingencies.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c.    Stock-based compensation:</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As further discussed in Note 19, in February 2025, the Company granted performance stock units (“PSUs”) under its Omnibus Stock Incentive Plan.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PSUs are accounted for using the grant date fair value method, based on the grant date share price. The Company recognizes expense over the requisite service period using a graded vesting model. For unvested awards with performance conditions, the Company assesses the probability of attaining the performance conditions at each reporting period. Awards that are deemed probable of attainment are recognized in expense over the requisite service period.</w:t>
      </w:r>
    </w:p>
    <w:p>
      <w:pPr>
        <w:pStyle w:val="TextBody"/>
        <w:bidi w:val="0"/>
        <w:spacing w:before="0" w:after="200"/>
        <w:ind w:left="360" w:right="0" w:hanging="0"/>
        <w:jc w:val="left"/>
        <w:rPr/>
      </w:pPr>
      <w:r>
        <w:rPr/>
        <w:t>​</w:t>
      </w:r>
    </w:p>
    <w:p>
      <w:pPr>
        <w:pStyle w:val="TextBody"/>
        <w:bidi w:val="0"/>
        <w:spacing w:before="0" w:after="20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d.    Recently issued accounting pronouncements:</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FASB Standards issued, but not adopted as of March 31, 2025</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In 2023, the FASB issued guidance,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It also requires entities to disclose their income tax payments (net of refunds received) to international, federal, state and local jurisdictions, among other changes. The guidance is effective for annual periods beginning after December 15, 2024, and can be applied prospectively with the option for retrospective application to all prior periods presented in the financial statements, with early adoption permitted. The Company is currently evaluating the potential impact of adopting this new guidance on its consolidated financial statements and related disclosures.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In 2024, the FASB issued guidance, ASU 2024-03, which requires the disaggregated disclosure of certain costs and expenses on an interim and annual basis. The new standard is effective for annual periods beginning after December 15, 2026 and interim periods beginning after December 15, 2027 and can be applied prospectively with the option for retrospective application to all prior periods presented in the financial statements, with early adoption permitted. The Company is currently evaluating the potential impact of adopting this new guidance on its consolidated financial statements and related disclosures.</w:t>
      </w:r>
    </w:p>
    <w:p>
      <w:pPr>
        <w:pStyle w:val="TextBody"/>
        <w:bidi w:val="0"/>
        <w:spacing w:before="0" w:after="200"/>
        <w:ind w:left="0" w:right="0" w:hanging="0"/>
        <w:jc w:val="left"/>
        <w:rPr>
          <w:rFonts w:ascii="Times New Roman;Times;serif" w:hAnsi="Times New Roman;Times;serif"/>
          <w:b/>
          <w:sz w:val="20"/>
        </w:rPr>
      </w:pPr>
      <w:bookmarkStart w:id="771" w:name="Tc_DNdHTTcSlk6yfK_E7BclhQ_6_1"/>
      <w:bookmarkStart w:id="772" w:name="Tc_MsB2HChGRUmnZuE2qC9lcg_6_0"/>
      <w:bookmarkStart w:id="773" w:name="Tc_nOar0TzdgEivPa7LTjlybA_5_0"/>
      <w:bookmarkStart w:id="774" w:name="Tc_KTAkq4cuOEic0LIyF1iymw_4_0"/>
      <w:bookmarkStart w:id="775" w:name="Tc_0xGCa5eH70KEhsnGw2Z3dQ_3_0"/>
      <w:bookmarkStart w:id="776" w:name="Tc_WcLy2kjzKk6kI5TX2QsPDQ_2_1"/>
      <w:bookmarkStart w:id="777" w:name="Tc_vUznK_jxd0WKDCwqZ7Wfzg_2_0"/>
      <w:bookmarkStart w:id="778" w:name="Tc_3XpbPEO-L0OnlYbQXumClg_1_1"/>
      <w:bookmarkEnd w:id="771"/>
      <w:bookmarkEnd w:id="772"/>
      <w:bookmarkEnd w:id="773"/>
      <w:bookmarkEnd w:id="774"/>
      <w:bookmarkEnd w:id="775"/>
      <w:bookmarkEnd w:id="776"/>
      <w:bookmarkEnd w:id="777"/>
      <w:bookmarkEnd w:id="778"/>
      <w:r>
        <w:rPr>
          <w:rFonts w:ascii="Times New Roman;Times;serif" w:hAnsi="Times New Roman;Times;serif"/>
          <w:b/>
          <w:sz w:val="20"/>
        </w:rPr>
        <w:t>NOTE 3 – BUSINESS COMBINATIONS</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 xml:space="preserve">On August 5, 2024, Payoneer acquired 100% of the outstanding equity of Skuad Pte. Ltd. (“Skuad”) and its subsidiaries, a global workforce and payroll management company. The acquisition accelerates Payoneer’s strategy to deliver a comprehensive and integrated financial stack for SMBs that operate globally. The transaction was accounted for in accordance with ASC 805, </w:t>
      </w:r>
      <w:r>
        <w:rPr>
          <w:rFonts w:ascii="Times New Roman;Times;serif" w:hAnsi="Times New Roman;Times;serif"/>
          <w:i/>
          <w:sz w:val="20"/>
        </w:rPr>
        <w:t>Business Combinations</w:t>
      </w:r>
      <w:r>
        <w:rPr>
          <w:rFonts w:ascii="Times New Roman;Times;serif" w:hAnsi="Times New Roman;Times;serif"/>
          <w:sz w:val="20"/>
        </w:rPr>
        <w:t xml:space="preserve"> (“ASC 805”), using the acquisition method of accounting with Payoneer as the acquirer.</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The following table summarizes the fair value of the consideration transferred (after measurement period adjustments during the year ended December 31, 2024):</w:t>
      </w:r>
    </w:p>
    <w:p>
      <w:pPr>
        <w:pStyle w:val="TextBody"/>
        <w:bidi w:val="0"/>
        <w:spacing w:before="0" w:after="0"/>
        <w:ind w:left="0" w:right="0" w:hanging="0"/>
        <w:jc w:val="left"/>
        <w:rPr/>
      </w:pPr>
      <w:r>
        <w:rPr/>
        <w:t>​</w:t>
      </w:r>
    </w:p>
    <w:tbl>
      <w:tblPr>
        <w:tblW w:w="10201" w:type="dxa"/>
        <w:jc w:val="left"/>
        <w:tblInd w:w="0" w:type="dxa"/>
        <w:tblLayout w:type="fixed"/>
        <w:tblCellMar>
          <w:top w:w="0" w:type="dxa"/>
          <w:left w:w="0" w:type="dxa"/>
          <w:bottom w:w="0" w:type="dxa"/>
          <w:right w:w="0" w:type="dxa"/>
        </w:tblCellMar>
      </w:tblPr>
      <w:tblGrid>
        <w:gridCol w:w="5506"/>
        <w:gridCol w:w="996"/>
        <w:gridCol w:w="3699"/>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496310" cy="175260"/>
                      <wp:effectExtent l="0" t="0" r="0" b="0"/>
                      <wp:wrapNone/>
                      <wp:docPr id="53" name="Frame52"/>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32460" cy="175260"/>
                      <wp:effectExtent l="0" t="0" r="0" b="0"/>
                      <wp:wrapNone/>
                      <wp:docPr id="54" name="Frame53"/>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48865" cy="175260"/>
                      <wp:effectExtent l="0" t="0" r="0" b="0"/>
                      <wp:wrapNone/>
                      <wp:docPr id="55" name="Frame54"/>
                      <a:graphic xmlns:a="http://schemas.openxmlformats.org/drawingml/2006/main">
                        <a:graphicData uri="http://schemas.microsoft.com/office/word/2010/wordprocessingShape">
                          <wps:wsp>
                            <wps:cNvSpPr txBox="1"/>
                            <wps:spPr>
                              <a:xfrm>
                                <a:off x="0" y="0"/>
                                <a:ext cx="2348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1"/>
              <w:ind w:left="0" w:right="0" w:hanging="0"/>
              <w:jc w:val="left"/>
              <w:rPr/>
            </w:pPr>
            <w:r>
              <w:rPr/>
              <w:t>​</w:t>
            </w:r>
          </w:p>
        </w:tc>
        <w:tc>
          <w:tcPr>
            <w:tcW w:w="46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Amounts Recognized as of Acquisition Date (Adjusted)</w:t>
            </w:r>
          </w:p>
        </w:tc>
      </w:tr>
      <w:tr>
        <w:trPr/>
        <w:tc>
          <w:tcPr>
            <w:tcW w:w="5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w:t>
            </w:r>
          </w:p>
        </w:tc>
        <w:tc>
          <w:tcPr>
            <w:tcW w:w="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61,099</w:t>
            </w:r>
          </w:p>
        </w:tc>
      </w:tr>
      <w:tr>
        <w:trPr/>
        <w:tc>
          <w:tcPr>
            <w:tcW w:w="5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996" w:type="dxa"/>
            <w:tcBorders/>
            <w:vAlign w:val="center"/>
          </w:tcPr>
          <w:p>
            <w:pPr>
              <w:pStyle w:val="TableContents"/>
              <w:bidi w:val="0"/>
              <w:spacing w:before="0" w:after="1"/>
              <w:ind w:left="0" w:right="0" w:hanging="0"/>
              <w:jc w:val="left"/>
              <w:rPr/>
            </w:pPr>
            <w:r>
              <w:rPr/>
              <w:t>​</w:t>
            </w:r>
          </w:p>
        </w:tc>
        <w:tc>
          <w:tcPr>
            <w:tcW w:w="3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6,974</w:t>
            </w:r>
          </w:p>
        </w:tc>
      </w:tr>
      <w:tr>
        <w:trPr/>
        <w:tc>
          <w:tcPr>
            <w:tcW w:w="5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Extinguishment of pre-existing receivable</w:t>
            </w:r>
          </w:p>
        </w:tc>
        <w:tc>
          <w:tcPr>
            <w:tcW w:w="996" w:type="dxa"/>
            <w:tcBorders/>
            <w:shd w:fill="CCEEFF" w:val="clear"/>
            <w:vAlign w:val="center"/>
          </w:tcPr>
          <w:p>
            <w:pPr>
              <w:pStyle w:val="TableContents"/>
              <w:bidi w:val="0"/>
              <w:spacing w:before="0" w:after="1"/>
              <w:ind w:left="0" w:right="0" w:hanging="0"/>
              <w:jc w:val="left"/>
              <w:rPr/>
            </w:pPr>
            <w:r>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5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unvested acquiree stock-based compensation awards</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5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9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69,388</w:t>
            </w:r>
          </w:p>
        </w:tc>
      </w:tr>
    </w:tbl>
    <w:p>
      <w:pPr>
        <w:pStyle w:val="TextBody"/>
        <w:bidi w:val="0"/>
        <w:spacing w:before="0" w:after="200"/>
        <w:ind w:left="360" w:right="0" w:hanging="0"/>
        <w:jc w:val="left"/>
        <w:rPr/>
      </w:pPr>
      <w:r>
        <w:rPr/>
        <w:t>​</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The contingent consideration was in the form of a $9,709 earn-out subject to meeting certain performance criteria. The fair value of the contingent consideration was estimated using estimates of probability of each outcome and the Option Pricing Model (“OPM”), except for with respect to the integration plan target, which is not exposed to systemic risk. Refer to Note 7 below for details on changes in the fair value of the contingent consideration since acquisition.</w:t>
      </w:r>
    </w:p>
    <w:p>
      <w:pPr>
        <w:pStyle w:val="TextBody"/>
        <w:bidi w:val="0"/>
        <w:spacing w:before="0" w:after="200"/>
        <w:ind w:left="360" w:right="0" w:firstLine="360"/>
        <w:jc w:val="left"/>
        <w:rPr/>
      </w:pPr>
      <w:r>
        <w:rPr/>
        <w:t>​</w:t>
      </w:r>
    </w:p>
    <w:p>
      <w:pPr>
        <w:pStyle w:val="TextBody"/>
        <w:bidi w:val="0"/>
        <w:spacing w:before="0" w:after="200"/>
        <w:ind w:left="360" w:right="0" w:firstLine="360"/>
        <w:jc w:val="left"/>
        <w:rPr/>
      </w:pPr>
      <w:r>
        <w:rPr/>
        <w:t>​</w:t>
      </w:r>
    </w:p>
    <w:p>
      <w:pPr>
        <w:pStyle w:val="TextBody"/>
        <w:bidi w:val="0"/>
        <w:spacing w:before="0" w:after="200"/>
        <w:ind w:left="360" w:right="0" w:firstLine="360"/>
        <w:jc w:val="left"/>
        <w:rPr/>
      </w:pPr>
      <w:r>
        <w:rPr/>
        <w:t>​</w:t>
      </w:r>
    </w:p>
    <w:p>
      <w:pPr>
        <w:pStyle w:val="TextBody"/>
        <w:bidi w:val="0"/>
        <w:spacing w:before="0" w:after="200"/>
        <w:ind w:left="360" w:right="0" w:firstLine="360"/>
        <w:jc w:val="left"/>
        <w:rPr/>
      </w:pPr>
      <w:r>
        <w:rPr/>
        <w:t>​</w:t>
      </w:r>
    </w:p>
    <w:p>
      <w:pPr>
        <w:pStyle w:val="TextBody"/>
        <w:bidi w:val="0"/>
        <w:spacing w:before="0" w:after="200"/>
        <w:ind w:left="360" w:right="0" w:firstLine="360"/>
        <w:jc w:val="left"/>
        <w:rPr/>
      </w:pPr>
      <w:r>
        <w:rPr/>
        <w:t>​</w:t>
      </w:r>
    </w:p>
    <w:p>
      <w:pPr>
        <w:pStyle w:val="TextBody"/>
        <w:bidi w:val="0"/>
        <w:spacing w:before="0" w:after="200"/>
        <w:ind w:left="36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779" w:name="Tc_ntaeSSiaN0uH5VuydHUnWQ_16_1"/>
      <w:bookmarkStart w:id="780" w:name="Tc_04-HJj3-Wk-EWq0NuXQSVw_16_0"/>
      <w:bookmarkStart w:id="781" w:name="Tc_4APERPEHJk2pBXJzWKyAQA_15_1"/>
      <w:bookmarkStart w:id="782" w:name="Tc_sy-6Vi3w7UmHpdc53C5UPA_15_0"/>
      <w:bookmarkStart w:id="783" w:name="Tc_P7qlQiEJN0yU4HqZUMXBDQ_14_1"/>
      <w:bookmarkStart w:id="784" w:name="Tc_BqZBvn9GnEmWCQ5Y6BxcVg_14_0"/>
      <w:bookmarkStart w:id="785" w:name="Tc_skBo1IDtgU-wyrNxNh4Myw_13_0"/>
      <w:bookmarkStart w:id="786" w:name="Tc_dkTBBSFzJ06kBweOzAeRkQ_12_0"/>
      <w:bookmarkStart w:id="787" w:name="Tc_mOMLR2xxJEyy-St-cYNP-w_11_0"/>
      <w:bookmarkStart w:id="788" w:name="Tc_eqIzby-2aE27KOCtYO0Icg_10_0"/>
      <w:bookmarkStart w:id="789" w:name="Tc_TEMlBtnYuUmeFI06uC65mQ_9_0"/>
      <w:bookmarkStart w:id="790" w:name="Tc_CEgeySP-t0m7FHeH6nItoQ_8_0"/>
      <w:bookmarkStart w:id="791" w:name="Tc_x7xn06jkIEuo8GC_ITtKhw_7_0"/>
      <w:bookmarkStart w:id="792" w:name="Tc_L7plrrtlB0W1y5OFscimVw_6_0"/>
      <w:bookmarkStart w:id="793" w:name="Tc_9FyFIvBdPke7XogcNeHF9A_5_0"/>
      <w:bookmarkStart w:id="794" w:name="Tc_4jES-PxZ3kyXE4DJVFIJdA_4_0"/>
      <w:bookmarkStart w:id="795" w:name="Tc_gMcY9XFx6021OWuQfroz9A_3_0"/>
      <w:bookmarkStart w:id="796" w:name="Tc_IlnfD9fAJ0yuAP-oB4_ShQ_2_1"/>
      <w:bookmarkStart w:id="797" w:name="Tc_n0MDlIESRk2x0cJH7lccOw_2_0"/>
      <w:bookmarkStart w:id="798" w:name="Tc_Of9pNSq9FUOuuJWrJc7g6g_1_1"/>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r>
        <w:rPr>
          <w:rFonts w:ascii="Times New Roman;Times;serif" w:hAnsi="Times New Roman;Times;serif"/>
          <w:b/>
          <w:sz w:val="20"/>
        </w:rPr>
        <w:t>NOTE 3 – BUSINESS COMBINATIONS (continued):</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the recognized amounts of identifiable assets acquired and liabilities assumed (after measurement period adjustments during the year ended December 31, 2024): </w:t>
      </w:r>
    </w:p>
    <w:p>
      <w:pPr>
        <w:pStyle w:val="TextBody"/>
        <w:bidi w:val="0"/>
        <w:spacing w:before="0" w:after="0"/>
        <w:ind w:left="0" w:right="0" w:hanging="0"/>
        <w:jc w:val="left"/>
        <w:rPr/>
      </w:pPr>
      <w:r>
        <w:rPr/>
        <w:t>​</w:t>
      </w:r>
    </w:p>
    <w:tbl>
      <w:tblPr>
        <w:tblW w:w="8821" w:type="dxa"/>
        <w:jc w:val="left"/>
        <w:tblInd w:w="0" w:type="dxa"/>
        <w:tblLayout w:type="fixed"/>
        <w:tblCellMar>
          <w:top w:w="0" w:type="dxa"/>
          <w:left w:w="0" w:type="dxa"/>
          <w:bottom w:w="0" w:type="dxa"/>
          <w:right w:w="0" w:type="dxa"/>
        </w:tblCellMar>
      </w:tblPr>
      <w:tblGrid>
        <w:gridCol w:w="4126"/>
        <w:gridCol w:w="996"/>
        <w:gridCol w:w="3699"/>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620010" cy="175260"/>
                      <wp:effectExtent l="0" t="0" r="0" b="0"/>
                      <wp:wrapNone/>
                      <wp:docPr id="56" name="Frame55"/>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32460" cy="175260"/>
                      <wp:effectExtent l="0" t="0" r="0" b="0"/>
                      <wp:wrapNone/>
                      <wp:docPr id="57" name="Frame56"/>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48865" cy="175260"/>
                      <wp:effectExtent l="0" t="0" r="0" b="0"/>
                      <wp:wrapNone/>
                      <wp:docPr id="58" name="Frame57"/>
                      <a:graphic xmlns:a="http://schemas.openxmlformats.org/drawingml/2006/main">
                        <a:graphicData uri="http://schemas.microsoft.com/office/word/2010/wordprocessingShape">
                          <wps:wsp>
                            <wps:cNvSpPr txBox="1"/>
                            <wps:spPr>
                              <a:xfrm>
                                <a:off x="0" y="0"/>
                                <a:ext cx="2348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1"/>
              <w:ind w:left="0" w:right="0" w:hanging="0"/>
              <w:jc w:val="left"/>
              <w:rPr/>
            </w:pPr>
            <w:r>
              <w:rPr/>
              <w:t>​</w:t>
            </w:r>
          </w:p>
        </w:tc>
        <w:tc>
          <w:tcPr>
            <w:tcW w:w="46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Amounts Recognized as of Acquisition Date (Adjusted)</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deposits</w:t>
            </w:r>
          </w:p>
        </w:tc>
        <w:tc>
          <w:tcPr>
            <w:tcW w:w="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3,875</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funds</w:t>
            </w:r>
          </w:p>
        </w:tc>
        <w:tc>
          <w:tcPr>
            <w:tcW w:w="996" w:type="dxa"/>
            <w:tcBorders/>
            <w:vAlign w:val="center"/>
          </w:tcPr>
          <w:p>
            <w:pPr>
              <w:pStyle w:val="TableContents"/>
              <w:bidi w:val="0"/>
              <w:spacing w:before="0" w:after="1"/>
              <w:ind w:left="0" w:right="0" w:hanging="0"/>
              <w:jc w:val="left"/>
              <w:rPr/>
            </w:pPr>
            <w:r>
              <w:rPr/>
              <w:t>​</w:t>
            </w:r>
          </w:p>
        </w:tc>
        <w:tc>
          <w:tcPr>
            <w:tcW w:w="3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9,005</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996" w:type="dxa"/>
            <w:tcBorders/>
            <w:shd w:fill="CCEEFF" w:val="clear"/>
            <w:vAlign w:val="center"/>
          </w:tcPr>
          <w:p>
            <w:pPr>
              <w:pStyle w:val="TableContents"/>
              <w:bidi w:val="0"/>
              <w:spacing w:before="0" w:after="1"/>
              <w:ind w:left="0" w:right="0" w:hanging="0"/>
              <w:jc w:val="left"/>
              <w:rPr/>
            </w:pPr>
            <w:r>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indemnification asset</w:t>
            </w:r>
          </w:p>
        </w:tc>
        <w:tc>
          <w:tcPr>
            <w:tcW w:w="996" w:type="dxa"/>
            <w:tcBorders/>
            <w:vAlign w:val="center"/>
          </w:tcPr>
          <w:p>
            <w:pPr>
              <w:pStyle w:val="TableContents"/>
              <w:bidi w:val="0"/>
              <w:spacing w:before="0" w:after="1"/>
              <w:ind w:left="0" w:right="0" w:hanging="0"/>
              <w:jc w:val="left"/>
              <w:rPr/>
            </w:pPr>
            <w:r>
              <w:rPr/>
              <w:t>​</w:t>
            </w:r>
          </w:p>
        </w:tc>
        <w:tc>
          <w:tcPr>
            <w:tcW w:w="3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 intangible asset</w:t>
            </w:r>
          </w:p>
        </w:tc>
        <w:tc>
          <w:tcPr>
            <w:tcW w:w="996" w:type="dxa"/>
            <w:tcBorders/>
            <w:shd w:fill="CCEEFF" w:val="clear"/>
            <w:vAlign w:val="center"/>
          </w:tcPr>
          <w:p>
            <w:pPr>
              <w:pStyle w:val="TableContents"/>
              <w:bidi w:val="0"/>
              <w:spacing w:before="0" w:after="1"/>
              <w:ind w:left="0" w:right="0" w:hanging="0"/>
              <w:jc w:val="left"/>
              <w:rPr/>
            </w:pPr>
            <w:r>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6,683</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 intangible asset</w:t>
            </w:r>
          </w:p>
        </w:tc>
        <w:tc>
          <w:tcPr>
            <w:tcW w:w="996" w:type="dxa"/>
            <w:tcBorders/>
            <w:vAlign w:val="center"/>
          </w:tcPr>
          <w:p>
            <w:pPr>
              <w:pStyle w:val="TableContents"/>
              <w:bidi w:val="0"/>
              <w:spacing w:before="0" w:after="1"/>
              <w:ind w:left="0" w:right="0" w:hanging="0"/>
              <w:jc w:val="left"/>
              <w:rPr/>
            </w:pPr>
            <w:r>
              <w:rPr/>
              <w:t>​</w:t>
            </w:r>
          </w:p>
        </w:tc>
        <w:tc>
          <w:tcPr>
            <w:tcW w:w="3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996" w:type="dxa"/>
            <w:tcBorders/>
            <w:shd w:fill="CCEEFF" w:val="clear"/>
            <w:vAlign w:val="center"/>
          </w:tcPr>
          <w:p>
            <w:pPr>
              <w:pStyle w:val="TableContents"/>
              <w:bidi w:val="0"/>
              <w:spacing w:before="0" w:after="1"/>
              <w:ind w:left="0" w:right="0" w:hanging="0"/>
              <w:jc w:val="left"/>
              <w:rPr/>
            </w:pPr>
            <w:r>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996" w:type="dxa"/>
            <w:tcBorders/>
            <w:vAlign w:val="center"/>
          </w:tcPr>
          <w:p>
            <w:pPr>
              <w:pStyle w:val="TableContents"/>
              <w:bidi w:val="0"/>
              <w:spacing w:before="0" w:after="1"/>
              <w:ind w:left="0" w:right="0" w:hanging="0"/>
              <w:jc w:val="left"/>
              <w:rPr/>
            </w:pPr>
            <w:r>
              <w:rPr/>
              <w:t>​</w:t>
            </w:r>
          </w:p>
        </w:tc>
        <w:tc>
          <w:tcPr>
            <w:tcW w:w="3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operating balances</w:t>
            </w:r>
          </w:p>
        </w:tc>
        <w:tc>
          <w:tcPr>
            <w:tcW w:w="996" w:type="dxa"/>
            <w:tcBorders/>
            <w:shd w:fill="CCEEFF" w:val="clear"/>
            <w:vAlign w:val="center"/>
          </w:tcPr>
          <w:p>
            <w:pPr>
              <w:pStyle w:val="TableContents"/>
              <w:bidi w:val="0"/>
              <w:spacing w:before="0" w:after="1"/>
              <w:ind w:left="0" w:right="0" w:hanging="0"/>
              <w:jc w:val="left"/>
              <w:rPr/>
            </w:pPr>
            <w:r>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(9,005)</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996" w:type="dxa"/>
            <w:tcBorders/>
            <w:vAlign w:val="center"/>
          </w:tcPr>
          <w:p>
            <w:pPr>
              <w:pStyle w:val="TableContents"/>
              <w:bidi w:val="0"/>
              <w:spacing w:before="0" w:after="1"/>
              <w:ind w:left="0" w:right="0" w:hanging="0"/>
              <w:jc w:val="left"/>
              <w:rPr/>
            </w:pPr>
            <w:r>
              <w:rPr/>
              <w:t>​</w:t>
            </w:r>
          </w:p>
        </w:tc>
        <w:tc>
          <w:tcPr>
            <w:tcW w:w="3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Uncertain tax positions</w:t>
            </w:r>
          </w:p>
        </w:tc>
        <w:tc>
          <w:tcPr>
            <w:tcW w:w="996" w:type="dxa"/>
            <w:tcBorders/>
            <w:shd w:fill="CCEEFF" w:val="clear"/>
            <w:vAlign w:val="center"/>
          </w:tcPr>
          <w:p>
            <w:pPr>
              <w:pStyle w:val="TableContents"/>
              <w:bidi w:val="0"/>
              <w:spacing w:before="0" w:after="1"/>
              <w:ind w:left="0" w:right="0" w:hanging="0"/>
              <w:jc w:val="left"/>
              <w:rPr/>
            </w:pPr>
            <w:r>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(4,326)</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11,492</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57,896</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9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69,388</w:t>
            </w:r>
          </w:p>
        </w:tc>
      </w:tr>
    </w:tbl>
    <w:p>
      <w:pPr>
        <w:pStyle w:val="TextBody"/>
        <w:bidi w:val="0"/>
        <w:spacing w:before="0" w:after="200"/>
        <w:ind w:left="360" w:right="0" w:firstLine="360"/>
        <w:jc w:val="left"/>
        <w:rPr/>
      </w:pPr>
      <w:r>
        <w:rPr/>
        <w:t>​</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The excess of the purchase consideration over the fair value of net tangible and identifiable intangible assets acquired was recorded as goodwill and is primarily attributable to the significant synergies expected to arise from the acquisition, including enhancement of Payoneer’s comprehensive and integrated financial stack. The Company does not expect goodwill to be deductible for income tax purposes.</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Due to Skuad’s insignificant size relative to the Company, Payoneer is not providing supplemental pro forma financial information.</w:t>
      </w:r>
    </w:p>
    <w:p>
      <w:pPr>
        <w:pStyle w:val="TextBody"/>
        <w:bidi w:val="0"/>
        <w:spacing w:before="0" w:after="200"/>
        <w:ind w:left="360" w:right="0" w:firstLine="360"/>
        <w:jc w:val="left"/>
        <w:rPr>
          <w:rFonts w:ascii="Times New Roman;Times;serif" w:hAnsi="Times New Roman;Times;serif"/>
          <w:sz w:val="20"/>
        </w:rPr>
      </w:pPr>
      <w:r>
        <w:rPr>
          <w:rFonts w:ascii="Times New Roman;Times;serif" w:hAnsi="Times New Roman;Times;serif"/>
          <w:sz w:val="20"/>
        </w:rPr>
        <w:t>The allocation of the purchase price for this acquisition has been prepared on a preliminary basis and changes to the allocation to certain assets, liabilities, and tax estimates may occur as additional information becomes available throughout the measurement period, which will not exceed 12 months from the date of the acquisition.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4 – CAPITAL ADVANCE (“CA”) RECEIVABLES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enters into transactions with pre-qualified sellers in which the Company purchases a designated amount of future receivables for an upfront cash purchase price.</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pPr>
      <w:bookmarkStart w:id="799" w:name="Tc_1PPZQt5YZkSlRXsPuSZFgw_3_0"/>
      <w:bookmarkStart w:id="800" w:name="Tc_tiyt4nueEUOzEhngVmZJWA_2_11"/>
      <w:bookmarkStart w:id="801" w:name="Tc_I3Lca27EvUKfZFHdZwyTmg_2_9"/>
      <w:bookmarkStart w:id="802" w:name="Tc_Cy9EIOwqQEWoJJPqQnIqNQ_2_7"/>
      <w:bookmarkStart w:id="803" w:name="Tc_8LfWQZBJjk-OMLNkGmlMoA_2_5"/>
      <w:bookmarkStart w:id="804" w:name="Tc_BfcnKgodHEK7ydiz8EMFmw_2_3"/>
      <w:bookmarkStart w:id="805" w:name="Tc_cHZqobgb4U6Krn0pphdG-A_2_0"/>
      <w:bookmarkStart w:id="806" w:name="Tc_yd0wCZ0Fg0K6fvNFYYiRlQ_1_11"/>
      <w:bookmarkStart w:id="807" w:name="Tc_OLKXeWKi9kq8voeXG4JKFw_1_9"/>
      <w:bookmarkStart w:id="808" w:name="Tc_i-CtEO1k7kOMTntaqv-E2g_1_7"/>
      <w:bookmarkStart w:id="809" w:name="Tc_iE-IiDl_DkSlEGo7UQbfBw_1_5"/>
      <w:bookmarkStart w:id="810" w:name="_ea0ed6a7_6615_43e4_bc5d_b94bdc2a598c"/>
      <w:bookmarkStart w:id="811" w:name="Tc_Gn8RFCSYRka0wwHH4qTQ-A_3_0"/>
      <w:bookmarkStart w:id="812" w:name="Tc_LW8aBc027Uugy2SYjv_ZTQ_2_11"/>
      <w:bookmarkStart w:id="813" w:name="Tc_tQZ3ySJvQUyh9QQZpNxHNg_2_9"/>
      <w:bookmarkStart w:id="814" w:name="Tc_9QtykIBQSUGGVXs0S13VpA_2_7"/>
      <w:bookmarkStart w:id="815" w:name="Tc_y7ZMgYQti0S10lA6_PAWYQ_2_5"/>
      <w:bookmarkStart w:id="816" w:name="Tc_lwzWj28OQ0G0JZtao1qNHQ_2_3"/>
      <w:bookmarkStart w:id="817" w:name="Tc_cWJU_9BuhEqgatkVCgPSEQ_2_0"/>
      <w:bookmarkStart w:id="818" w:name="Tc_vgSPF2i5qE6jx1UCsjB6Mw_1_11"/>
      <w:bookmarkStart w:id="819" w:name="Tc_XQCeIxxVikacaBJcrBxLcQ_1_9"/>
      <w:bookmarkStart w:id="820" w:name="Tc_rjU4CgeaI0yPnwWQo0WZWQ_1_7"/>
      <w:bookmarkStart w:id="821" w:name="Tc_5ocaYcxEi0qVICc-4v-syw_1_5"/>
      <w:bookmarkStart w:id="822" w:name="_e3155797_dd9b_48f9_ad04_8bac3d59b973"/>
      <w:bookmarkStart w:id="823" w:name="Tc__JtuCiVtekeRnpBKczhTPQ_11_5"/>
      <w:bookmarkStart w:id="824" w:name="Tc_UjsarL8hT0yzeUZtnlmOzg_11_2"/>
      <w:bookmarkStart w:id="825" w:name="Tc_Oy3kOaNdrU2vKbDPe0prSw_11_0"/>
      <w:bookmarkStart w:id="826" w:name="Tc_kbyPb5XZ5UuwbkgziaXR5w_10_0"/>
      <w:bookmarkStart w:id="827" w:name="Tc_y8G-4JLmmkiuPmzRl81zoA_9_5"/>
      <w:bookmarkStart w:id="828" w:name="Tc_u4UKozosv0eXwu3125yw5A_9_2"/>
      <w:bookmarkStart w:id="829" w:name="Tc_D5kOQb1lJ0ygOZDNm9zkPQ_9_0"/>
      <w:bookmarkStart w:id="830" w:name="Tc_eapxq07ijEGW8v1kxk8Jxw_8_0"/>
      <w:bookmarkStart w:id="831" w:name="Tc_qKdXNdbJA0OOYeJW8qHbBA_7_0"/>
      <w:bookmarkStart w:id="832" w:name="Tc_AbQHHLAeUkOvN_7WLOPOuA_6_0"/>
      <w:bookmarkStart w:id="833" w:name="Tc_-KREph5uzkCTOC4-ze9PVw_5_0"/>
      <w:bookmarkStart w:id="834" w:name="Tc_USNYx4qPE0O8pJoRmgu09A_4_5"/>
      <w:bookmarkStart w:id="835" w:name="Tc_G8vYeik2CUm4YYywWgltCQ_4_2"/>
      <w:bookmarkStart w:id="836" w:name="Tc__5Zw6mEt70qmrbhGTqP6AQ_4_0"/>
      <w:bookmarkStart w:id="837" w:name="Tc_fdFZR1qOYUmuWhSa70jMNw_3_5"/>
      <w:bookmarkStart w:id="838" w:name="Tc_2ZqXJfNHIkepPHVMbF588w_3_2"/>
      <w:bookmarkStart w:id="839" w:name="Tc_Je1dlaBv7UWCrS41xifWoQ_2_2"/>
      <w:bookmarkStart w:id="840" w:name="Tc_4MlR5C2Ch0mDdjVUnRpDUg_1_2"/>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4 – CAPITAL ADVANCE (“CA”) RECEIVABLES (continued):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2025 and 2024, the Company has purchased and collected the following principal amounts associated with CA receivables, including foreign exchange adjustments: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978"/>
        <w:gridCol w:w="109"/>
        <w:gridCol w:w="211"/>
        <w:gridCol w:w="770"/>
        <w:gridCol w:w="109"/>
        <w:gridCol w:w="211"/>
        <w:gridCol w:w="817"/>
      </w:tblGrid>
      <w:tr>
        <w:trPr/>
        <w:tc>
          <w:tcPr>
            <w:tcW w:w="7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66030" cy="175260"/>
                      <wp:effectExtent l="0" t="0" r="0" b="0"/>
                      <wp:wrapNone/>
                      <wp:docPr id="59" name="Frame58"/>
                      <a:graphic xmlns:a="http://schemas.openxmlformats.org/drawingml/2006/main">
                        <a:graphicData uri="http://schemas.microsoft.com/office/word/2010/wordprocessingShape">
                          <wps:wsp>
                            <wps:cNvSpPr txBox="1"/>
                            <wps:spPr>
                              <a:xfrm>
                                <a:off x="0" y="0"/>
                                <a:ext cx="5066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88950" cy="175260"/>
                      <wp:effectExtent l="0" t="0" r="0" b="0"/>
                      <wp:wrapNone/>
                      <wp:docPr id="62" name="Frame61"/>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18795" cy="175260"/>
                      <wp:effectExtent l="0" t="0" r="0" b="0"/>
                      <wp:wrapNone/>
                      <wp:docPr id="65" name="Frame64"/>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97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97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97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0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9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CA receivables, gross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50,552</w:t>
            </w:r>
          </w:p>
        </w:tc>
      </w:tr>
      <w:tr>
        <w:trPr/>
        <w:tc>
          <w:tcPr>
            <w:tcW w:w="79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 extended to customers (net of $1,155 and $1,384 of additional allowance for CA losses for the three months ended March 31, 2025 and 2024, respectively)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84,036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80,173</w:t>
            </w:r>
          </w:p>
        </w:tc>
      </w:tr>
      <w:tr>
        <w:trPr/>
        <w:tc>
          <w:tcPr>
            <w:tcW w:w="79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revenue receivables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79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 collected from customers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(93,936)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(71,868)</w:t>
            </w:r>
          </w:p>
        </w:tc>
      </w:tr>
      <w:tr>
        <w:trPr/>
        <w:tc>
          <w:tcPr>
            <w:tcW w:w="79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 net of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79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CA receivables, gross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57,490</w:t>
            </w:r>
          </w:p>
        </w:tc>
      </w:tr>
      <w:tr>
        <w:trPr/>
        <w:tc>
          <w:tcPr>
            <w:tcW w:w="79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CA losses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(5,357)</w:t>
            </w:r>
          </w:p>
        </w:tc>
      </w:tr>
      <w:tr>
        <w:trPr/>
        <w:tc>
          <w:tcPr>
            <w:tcW w:w="79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 receivables,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52,133</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are current and overdue balances that are segregated into the timing of expected collections at March 31, 2025:</w:t>
      </w:r>
    </w:p>
    <w:tbl>
      <w:tblPr>
        <w:tblW w:w="7502" w:type="dxa"/>
        <w:jc w:val="left"/>
        <w:tblInd w:w="0" w:type="dxa"/>
        <w:tblLayout w:type="fixed"/>
        <w:tblCellMar>
          <w:top w:w="0" w:type="dxa"/>
          <w:left w:w="0" w:type="dxa"/>
          <w:bottom w:w="0" w:type="dxa"/>
          <w:right w:w="0" w:type="dxa"/>
        </w:tblCellMar>
      </w:tblPr>
      <w:tblGrid>
        <w:gridCol w:w="226"/>
        <w:gridCol w:w="676"/>
        <w:gridCol w:w="326"/>
        <w:gridCol w:w="736"/>
        <w:gridCol w:w="326"/>
        <w:gridCol w:w="1036"/>
        <w:gridCol w:w="326"/>
        <w:gridCol w:w="1036"/>
        <w:gridCol w:w="326"/>
        <w:gridCol w:w="1081"/>
        <w:gridCol w:w="326"/>
        <w:gridCol w:w="108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3510" cy="175260"/>
                      <wp:effectExtent l="0" t="0" r="0" b="0"/>
                      <wp:wrapNone/>
                      <wp:docPr id="66"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29260" cy="175260"/>
                      <wp:effectExtent l="0" t="0" r="0" b="0"/>
                      <wp:wrapNone/>
                      <wp:docPr id="67" name="Frame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67360" cy="175260"/>
                      <wp:effectExtent l="0" t="0" r="0" b="0"/>
                      <wp:wrapNone/>
                      <wp:docPr id="69" name="Frame6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57860" cy="175260"/>
                      <wp:effectExtent l="0" t="0" r="0" b="0"/>
                      <wp:wrapNone/>
                      <wp:docPr id="71" name="Frame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57860" cy="175260"/>
                      <wp:effectExtent l="0" t="0" r="0" b="0"/>
                      <wp:wrapNone/>
                      <wp:docPr id="73" name="Frame7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86435" cy="175260"/>
                      <wp:effectExtent l="0" t="0" r="0" b="0"/>
                      <wp:wrapNone/>
                      <wp:docPr id="75" name="Frame7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86435" cy="175260"/>
                      <wp:effectExtent l="0" t="0" r="0" b="0"/>
                      <wp:wrapNone/>
                      <wp:docPr id="77" name="Frame7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Due in less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Due in 30</w:t>
            </w:r>
            <w:r>
              <w:rPr>
                <w:rFonts w:ascii="Times New Roman;Times;serif" w:hAnsi="Times New Roman;Times;serif"/>
                <w:sz w:val="16"/>
              </w:rPr>
              <w:noBreakHyphen/>
            </w:r>
            <w:r>
              <w:rPr>
                <w:rFonts w:ascii="Times New Roman;Times;serif" w:hAnsi="Times New Roman;Times;serif"/>
                <w:b/>
                <w:sz w:val="16"/>
              </w:rPr>
              <w:t>60</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Due in 60</w:t>
            </w:r>
            <w:r>
              <w:rPr>
                <w:rFonts w:ascii="Times New Roman;Times;serif" w:hAnsi="Times New Roman;Times;serif"/>
                <w:sz w:val="16"/>
              </w:rPr>
              <w:noBreakHyphen/>
            </w:r>
            <w:r>
              <w:rPr>
                <w:rFonts w:ascii="Times New Roman;Times;serif" w:hAnsi="Times New Roman;Times;serif"/>
                <w:b/>
                <w:sz w:val="16"/>
              </w:rPr>
              <w:t xml:space="preserve">90 </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Due in more </w:t>
            </w:r>
          </w:p>
        </w:tc>
      </w:tr>
      <w:tr>
        <w:trPr/>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than 30 days</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0"/>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0"/>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than 90 days</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50,001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2,526</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14,152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8,142</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16,596</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8,585</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are current and overdue balances that are segregated into the timing of expected collections at December 31, 2024:</w:t>
      </w:r>
    </w:p>
    <w:tbl>
      <w:tblPr>
        <w:tblW w:w="7502" w:type="dxa"/>
        <w:jc w:val="left"/>
        <w:tblInd w:w="0" w:type="dxa"/>
        <w:tblLayout w:type="fixed"/>
        <w:tblCellMar>
          <w:top w:w="0" w:type="dxa"/>
          <w:left w:w="0" w:type="dxa"/>
          <w:bottom w:w="0" w:type="dxa"/>
          <w:right w:w="0" w:type="dxa"/>
        </w:tblCellMar>
      </w:tblPr>
      <w:tblGrid>
        <w:gridCol w:w="226"/>
        <w:gridCol w:w="676"/>
        <w:gridCol w:w="326"/>
        <w:gridCol w:w="736"/>
        <w:gridCol w:w="326"/>
        <w:gridCol w:w="1036"/>
        <w:gridCol w:w="326"/>
        <w:gridCol w:w="1036"/>
        <w:gridCol w:w="326"/>
        <w:gridCol w:w="1081"/>
        <w:gridCol w:w="326"/>
        <w:gridCol w:w="108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3510" cy="175260"/>
                      <wp:effectExtent l="0" t="0" r="0" b="0"/>
                      <wp:wrapNone/>
                      <wp:docPr id="78" name="Frame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29260" cy="175260"/>
                      <wp:effectExtent l="0" t="0" r="0" b="0"/>
                      <wp:wrapNone/>
                      <wp:docPr id="79" name="Frame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7360" cy="175260"/>
                      <wp:effectExtent l="0" t="0" r="0" b="0"/>
                      <wp:wrapNone/>
                      <wp:docPr id="81" name="Frame8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7860" cy="175260"/>
                      <wp:effectExtent l="0" t="0" r="0" b="0"/>
                      <wp:wrapNone/>
                      <wp:docPr id="83" name="Frame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260"/>
                      <wp:effectExtent l="0" t="0" r="0" b="0"/>
                      <wp:wrapNone/>
                      <wp:docPr id="85" name="Frame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86435" cy="175260"/>
                      <wp:effectExtent l="0" t="0" r="0" b="0"/>
                      <wp:wrapNone/>
                      <wp:docPr id="87" name="Frame8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86435" cy="175260"/>
                      <wp:effectExtent l="0" t="0" r="0" b="0"/>
                      <wp:wrapNone/>
                      <wp:docPr id="89" name="Frame8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Due in less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Due in 30</w:t>
            </w:r>
            <w:r>
              <w:rPr>
                <w:rFonts w:ascii="Times New Roman;Times;serif" w:hAnsi="Times New Roman;Times;serif"/>
                <w:sz w:val="16"/>
              </w:rPr>
              <w:noBreakHyphen/>
            </w:r>
            <w:r>
              <w:rPr>
                <w:rFonts w:ascii="Times New Roman;Times;serif" w:hAnsi="Times New Roman;Times;serif"/>
                <w:b/>
                <w:sz w:val="16"/>
              </w:rPr>
              <w:t>60</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Due in 60</w:t>
            </w:r>
            <w:r>
              <w:rPr>
                <w:rFonts w:ascii="Times New Roman;Times;serif" w:hAnsi="Times New Roman;Times;serif"/>
                <w:sz w:val="16"/>
              </w:rPr>
              <w:noBreakHyphen/>
            </w:r>
            <w:r>
              <w:rPr>
                <w:rFonts w:ascii="Times New Roman;Times;serif" w:hAnsi="Times New Roman;Times;serif"/>
                <w:b/>
                <w:sz w:val="16"/>
              </w:rPr>
              <w:t xml:space="preserve">90 </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Due in more </w:t>
            </w:r>
          </w:p>
        </w:tc>
      </w:tr>
      <w:tr>
        <w:trPr/>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than 30 days</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1"/>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1"/>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than 90 days</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61,197</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2,825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13,654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13,357</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23,252</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8,109</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March 31, 2025 and December 31, 2024, the Company applied a range of loss rates to the CA portfolio of 0.87% to 2.02% for the allowance for CA losses. </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41" w:name="Tc_j9V0pluR9ESr-6n8C0hV1Q_9_4"/>
      <w:bookmarkStart w:id="842" w:name="Tc_pgiVLiHUYkKQR9wkkohFEw_9_1"/>
      <w:bookmarkStart w:id="843" w:name="Tc_krc09QdXiUuaaQmIAmXXEA_9_0"/>
      <w:bookmarkStart w:id="844" w:name="Tc_tO1-41FTBE6ezmQj3K4mbg_8_4"/>
      <w:bookmarkStart w:id="845" w:name="Tc_YYT8tf0TKEejZyz_GgMm3g_8_1"/>
      <w:bookmarkStart w:id="846" w:name="Tc_l9zQqEOLMkelRLwKizKc0Q_8_0"/>
      <w:bookmarkStart w:id="847" w:name="Tc_LKRUMuhhmUmR88g4E_qB7g_7_0"/>
      <w:bookmarkStart w:id="848" w:name="Tc_ihAAdW-nGEqattBeg-GQWA_6_4"/>
      <w:bookmarkStart w:id="849" w:name="Tc_6ogtsvhyy0itRwaLiPXVhQ_6_1"/>
      <w:bookmarkStart w:id="850" w:name="Tc_e-BsgEcHt0OyyWF5IrOdJA_6_0"/>
      <w:bookmarkStart w:id="851" w:name="Tc_QMLK7sf64UyRoPll8IVpsQ_5_0"/>
      <w:bookmarkStart w:id="852" w:name="Tc_oJBoUbQOM0iRTnlhqtCXbg_4_0"/>
      <w:bookmarkStart w:id="853" w:name="Tc_B1YzGR6q4ECseHCTsnyeTQ_3_4"/>
      <w:bookmarkStart w:id="854" w:name="Tc_WkvUnS6GiU-Y6LhAQgumvA_3_1"/>
      <w:bookmarkStart w:id="855" w:name="Tc_Awy6y2cHQEuMyiy_CgJ94w_3_0"/>
      <w:bookmarkStart w:id="856" w:name="Tc_7vhxeyKJ30Swlxk-vpl_sg_2_4"/>
      <w:bookmarkStart w:id="857" w:name="Tc_V9TBtw3H0EmjqB86TRXJjA_2_1"/>
      <w:bookmarkStart w:id="858" w:name="Tc_eckVl_Jo4U-EMC-wEDYEeA_1_4"/>
      <w:bookmarkStart w:id="859" w:name="Tc_zrTe5HJDJkSVXhvPvOqCLA_1_1"/>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Times New Roman;Times;serif" w:hAnsi="Times New Roman;Times;serif"/>
          <w:b/>
          <w:sz w:val="20"/>
        </w:rPr>
        <w:t>NOTE 5 – CUSTOMER FUNDS AND INVESTMENTS</w:t>
      </w:r>
    </w:p>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invested certain customer funds in available-for-sale debt securities and term deposits. The following table summarizes the assets underlying customer funds as of March 31, 2025 and December 31, 2024:</w:t>
      </w:r>
    </w:p>
    <w:p>
      <w:pPr>
        <w:pStyle w:val="TextBody"/>
        <w:bidi w:val="0"/>
        <w:spacing w:before="0" w:after="200"/>
        <w:ind w:left="0" w:right="0" w:hanging="0"/>
        <w:jc w:val="left"/>
        <w:rPr/>
      </w:pPr>
      <w:r>
        <w:rPr/>
        <w:t>​</w:t>
      </w:r>
    </w:p>
    <w:tbl>
      <w:tblPr>
        <w:tblW w:w="5319" w:type="dxa"/>
        <w:jc w:val="left"/>
        <w:tblInd w:w="0" w:type="dxa"/>
        <w:tblLayout w:type="fixed"/>
        <w:tblCellMar>
          <w:top w:w="0" w:type="dxa"/>
          <w:left w:w="0" w:type="dxa"/>
          <w:bottom w:w="0" w:type="dxa"/>
          <w:right w:w="0" w:type="dxa"/>
        </w:tblCellMar>
      </w:tblPr>
      <w:tblGrid>
        <w:gridCol w:w="2821"/>
        <w:gridCol w:w="211"/>
        <w:gridCol w:w="931"/>
        <w:gridCol w:w="109"/>
        <w:gridCol w:w="211"/>
        <w:gridCol w:w="103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791335" cy="175260"/>
                      <wp:effectExtent l="0" t="0" r="0" b="0"/>
                      <wp:wrapNone/>
                      <wp:docPr id="90" name="Frame89"/>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92"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57860" cy="175260"/>
                      <wp:effectExtent l="0" t="0" r="0" b="0"/>
                      <wp:wrapNone/>
                      <wp:docPr id="95" name="Frame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82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4,786,061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5,189,216</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1,192,329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1,174,937</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deposits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customer funds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6,053,390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6,439,153</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deposits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customer funds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customer funds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6,578,390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6,964,153</w:t>
            </w:r>
          </w:p>
        </w:tc>
      </w:tr>
    </w:tbl>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860" w:name="_29139a15_7d40_48bd_8f00_7f44ba3056ab"/>
      <w:bookmarkEnd w:id="860"/>
      <w:r>
        <w:rPr>
          <w:rFonts w:ascii="Times New Roman;Times;serif" w:hAnsi="Times New Roman;Times;serif"/>
          <w:b/>
          <w:sz w:val="20"/>
        </w:rPr>
        <w:t xml:space="preserve">NOTE 5 – CUSTOMER FUNDS AND INVESTMENTS (continued):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2025, the estimated fair value of the available-for-sale debt securities included $5,783 in unrealized gains and $471 in unrealized losses, net of tax. The gross unrealized losses of $606 related to assets with a fair value of $278,969, which had been in a continuous unrealized loss position for less than 12 months.</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Unrealized losses have not been recognized into income as the Company neither intends to sell, nor anticipates that it is more likely than not that it will be required to sell, the securities before recovery of their amortized cost basis. The decline in fair value is due to changes in market interest rates, rather than credit losses. The Company will continue to monitor the performance of the investment portfolio and assess whether impairment due to expected credit losses has occurred.</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period ended March 31, 2025, the Company did not sell any available-for-sale debt securities or incur any realized gains or losses.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2025, $307,858 of the Company’s available-for-sale debt securities were due to mature within one year or less, and $884,471 were due to mature between one and five years.</w:t>
      </w:r>
    </w:p>
    <w:p>
      <w:pPr>
        <w:pStyle w:val="TextBody"/>
        <w:bidi w:val="0"/>
        <w:spacing w:before="0" w:after="20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bookmarkStart w:id="861" w:name="Tc_4pZhc2Bj50qiduyWqOiDTg_9_7"/>
      <w:bookmarkStart w:id="862" w:name="Tc_sksvg_gZa0yXuPV5iEDTow_9_4"/>
      <w:bookmarkStart w:id="863" w:name="Tc_Hpk_5f04uECpfABpc1Vuwg_9_0"/>
      <w:bookmarkStart w:id="864" w:name="Tc_eH61DFURQkG3AF8g-dIa-A_8_7"/>
      <w:bookmarkStart w:id="865" w:name="Tc_tqnchpzywECIy_qDl8uydQ_8_5"/>
      <w:bookmarkStart w:id="866" w:name="Tc_y5zh6gI1sECkIjFPVDnxmA_8_0"/>
      <w:bookmarkStart w:id="867" w:name="Tc_ONpDC90ygke09dqk7p8Ugw_7_7"/>
      <w:bookmarkStart w:id="868" w:name="Tc_a43p5C2da0WWvk7NkgX_IQ_7_4"/>
      <w:bookmarkStart w:id="869" w:name="Tc_cNkgV9oL5Eizm9rA69h_bQ_7_0"/>
      <w:bookmarkStart w:id="870" w:name="Tc_Rnk2p0tZsUit3t9aWo0OpA_6_0"/>
      <w:bookmarkStart w:id="871" w:name="Tc_uURBm12m-Eyscw8NNq4m6g_5_4"/>
      <w:bookmarkStart w:id="872" w:name="Tc_IW6wK-1qC02Q9V70zTCWqQ_5_0"/>
      <w:bookmarkStart w:id="873" w:name="Tc_w3Mp0X8mc0uKtEGIQvZLVg_4_7"/>
      <w:bookmarkStart w:id="874" w:name="Tc_YHGv4wzpLE-95-NwLpRKNA_4_5"/>
      <w:bookmarkStart w:id="875" w:name="Tc_i1_CaQKn9kGNpkANNX6fyQ_4_0"/>
      <w:bookmarkStart w:id="876" w:name="Tc_dINfCbfrmk6hrp_dj7UDRg_3_0"/>
      <w:bookmarkStart w:id="877" w:name="Tc_TLulRGnyv0WVmbLHfH0hjg_2_7"/>
      <w:bookmarkStart w:id="878" w:name="Tc_iTsyJd0veUKERFgxnCGagQ_2_4"/>
      <w:bookmarkStart w:id="879" w:name="Tc_avSdJ8AGWkaElJRTD068wg_2_1"/>
      <w:bookmarkStart w:id="880" w:name="Tc_jo6T9TsTWku9BhAj7iujCA_1_4"/>
      <w:bookmarkStart w:id="881" w:name="_fc42f7c7_e4ea_4194_a51d_7839523616b5"/>
      <w:bookmarkStart w:id="882" w:name="Tc_s0p-j6Eh00yVVbgw2f87zw_12_7"/>
      <w:bookmarkStart w:id="883" w:name="Tc_rZgBtCD-e0qdbS-yTQuJdg_12_4"/>
      <w:bookmarkStart w:id="884" w:name="Tc_fML-DED8l0asOarRFq4ZAA_12_0"/>
      <w:bookmarkStart w:id="885" w:name="Tc_QIas9U1LUESXd-GbF9po8g_11_7"/>
      <w:bookmarkStart w:id="886" w:name="Tc_UN--MOHElkCDHr9QHPmrjg_11_4"/>
      <w:bookmarkStart w:id="887" w:name="Tc_6m3xX48Ps0azWK7bQAnH3Q_11_0"/>
      <w:bookmarkStart w:id="888" w:name="Tc_WLP96CqObkeuCy9oE07WgA_10_0"/>
      <w:bookmarkStart w:id="889" w:name="Tc_5PWOuGQOb0ajsZQbYBSSqg_9_7"/>
      <w:bookmarkStart w:id="890" w:name="Tc_O7SJXloKdEyPDFGBHj2KyA_9_4"/>
      <w:bookmarkStart w:id="891" w:name="Tc_rfv22fugW0iL33wRhXhUvQ_9_0"/>
      <w:bookmarkStart w:id="892" w:name="Tc_FKYpv9PSl0OkVdt6JwXpNg_8_5"/>
      <w:bookmarkStart w:id="893" w:name="Tc_ag-IQJafj0OVlH_sd83sCA_8_0"/>
      <w:bookmarkStart w:id="894" w:name="Tc_5OvpiFc-i0q3QSg4gzcIhw_7_7"/>
      <w:bookmarkStart w:id="895" w:name="Tc_QZE4-9UMXkyQ0zBmTgKQzA_7_4"/>
      <w:bookmarkStart w:id="896" w:name="Tc_HKGh5dsAc0uhMWRp70d18Q_7_0"/>
      <w:bookmarkStart w:id="897" w:name="Tc_Xh-xpfGZmkeqJD7HMz8UMg_6_0"/>
      <w:bookmarkStart w:id="898" w:name="Tc_gGJWNEd2DUqikkG79RkVfg_5_4"/>
      <w:bookmarkStart w:id="899" w:name="Tc_xK5AfuYRzkWckAj20dp6YA_5_0"/>
      <w:bookmarkStart w:id="900" w:name="Tc_GK3JkHbAgkiF5I56UYlzpg_4_7"/>
      <w:bookmarkStart w:id="901" w:name="Tc_wyvn07t-2EuLYNQ6eszpdw_4_5"/>
      <w:bookmarkStart w:id="902" w:name="Tc_oAeioXh5jUCBHYkmqdKWMw_4_0"/>
      <w:bookmarkStart w:id="903" w:name="Tc_h0ENGwvdT0Ga4chLPIxWHQ_3_0"/>
      <w:bookmarkStart w:id="904" w:name="Tc_ZXb2qKVj_Um9q4ZxxYmryg_2_7"/>
      <w:bookmarkStart w:id="905" w:name="Tc_jqYEKgNyi0yVlA3RfDwM9w_2_4"/>
      <w:bookmarkStart w:id="906" w:name="Tc_tDXBLkeFME2M4hWXw3vwbw_2_1"/>
      <w:bookmarkStart w:id="907" w:name="Tc_MquAmyhXTEucVnzPoFJx6w_1_4"/>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sz w:val="20"/>
        </w:rPr>
        <w:t>NOTE 6 – DERIVATIVES AND HEDGING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table below summarizes the gross notional amount and fair value of outstanding derivative instruments at March 31, 2025 and December 31, 2024.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64"/>
        <w:gridCol w:w="109"/>
        <w:gridCol w:w="2135"/>
        <w:gridCol w:w="109"/>
        <w:gridCol w:w="319"/>
        <w:gridCol w:w="1026"/>
        <w:gridCol w:w="109"/>
        <w:gridCol w:w="211"/>
        <w:gridCol w:w="723"/>
      </w:tblGrid>
      <w:tr>
        <w:trPr/>
        <w:tc>
          <w:tcPr>
            <w:tcW w:w="5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69640" cy="175260"/>
                      <wp:effectExtent l="0" t="0" r="0" b="0"/>
                      <wp:wrapNone/>
                      <wp:docPr id="96" name="Frame95"/>
                      <a:graphic xmlns:a="http://schemas.openxmlformats.org/drawingml/2006/main">
                        <a:graphicData uri="http://schemas.microsoft.com/office/word/2010/wordprocessingShape">
                          <wps:wsp>
                            <wps:cNvSpPr txBox="1"/>
                            <wps:spPr>
                              <a:xfrm>
                                <a:off x="0" y="0"/>
                                <a:ext cx="3469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55725" cy="175260"/>
                      <wp:effectExtent l="0" t="0" r="0" b="0"/>
                      <wp:wrapNone/>
                      <wp:docPr id="98" name="Frame97"/>
                      <a:graphic xmlns:a="http://schemas.openxmlformats.org/drawingml/2006/main">
                        <a:graphicData uri="http://schemas.microsoft.com/office/word/2010/wordprocessingShape">
                          <wps:wsp>
                            <wps:cNvSpPr txBox="1"/>
                            <wps:spPr>
                              <a:xfrm>
                                <a:off x="0" y="0"/>
                                <a:ext cx="1355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2565" cy="175260"/>
                      <wp:effectExtent l="0" t="0" r="0" b="0"/>
                      <wp:wrapNone/>
                      <wp:docPr id="100" name="Frame9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1510" cy="175260"/>
                      <wp:effectExtent l="0" t="0" r="0" b="0"/>
                      <wp:wrapNone/>
                      <wp:docPr id="101" name="Frame100"/>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59105" cy="175260"/>
                      <wp:effectExtent l="0" t="0" r="0" b="0"/>
                      <wp:wrapNone/>
                      <wp:docPr id="104" name="Frame10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5464" w:type="dxa"/>
            <w:tcBorders/>
            <w:vAlign w:val="center"/>
          </w:tcPr>
          <w:p>
            <w:pPr>
              <w:pStyle w:val="TableContents"/>
              <w:bidi w:val="0"/>
              <w:spacing w:before="0" w:after="1"/>
              <w:ind w:left="0" w:right="0" w:hanging="0"/>
              <w:jc w:val="left"/>
              <w:rPr/>
            </w:pPr>
            <w:r>
              <w:rPr/>
              <w:t>​</w:t>
            </w:r>
          </w:p>
        </w:tc>
        <w:tc>
          <w:tcPr>
            <w:tcW w:w="22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1"/>
              <w:ind w:left="0" w:right="0" w:hanging="0"/>
              <w:jc w:val="left"/>
              <w:rPr/>
            </w:pPr>
            <w:r>
              <w:rPr/>
              <w:t>​</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w:t>
            </w:r>
          </w:p>
        </w:tc>
        <w:tc>
          <w:tcPr>
            <w:tcW w:w="109" w:type="dxa"/>
            <w:tcBorders/>
            <w:vAlign w:val="center"/>
          </w:tcPr>
          <w:p>
            <w:pPr>
              <w:pStyle w:val="TableContents"/>
              <w:bidi w:val="0"/>
              <w:spacing w:before="0" w:after="1"/>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hedge accounting instruments:</w:t>
            </w:r>
          </w:p>
        </w:tc>
        <w:tc>
          <w:tcPr>
            <w:tcW w:w="109" w:type="dxa"/>
            <w:tcBorders/>
            <w:shd w:fill="CCEEFF" w:val="clear"/>
            <w:vAlign w:val="center"/>
          </w:tcPr>
          <w:p>
            <w:pPr>
              <w:pStyle w:val="TableContents"/>
              <w:bidi w:val="0"/>
              <w:spacing w:before="0" w:after="1"/>
              <w:ind w:left="0" w:right="0" w:hanging="0"/>
              <w:jc w:val="center"/>
              <w:rPr/>
            </w:pPr>
            <w:r>
              <w:rPr/>
              <w:t>​</w:t>
            </w:r>
          </w:p>
        </w:tc>
        <w:tc>
          <w:tcPr>
            <w:tcW w:w="2135"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center"/>
              <w:rPr/>
            </w:pPr>
            <w:r>
              <w:rPr/>
              <w:t>​</w:t>
            </w:r>
          </w:p>
        </w:tc>
        <w:tc>
          <w:tcPr>
            <w:tcW w:w="10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23" w:type="dxa"/>
            <w:tcBorders/>
            <w:shd w:fill="CCEEFF" w:val="clear"/>
            <w:vAlign w:val="center"/>
          </w:tcPr>
          <w:p>
            <w:pPr>
              <w:pStyle w:val="TableContents"/>
              <w:bidi w:val="0"/>
              <w:spacing w:before="0" w:after="1"/>
              <w:ind w:left="0" w:right="0" w:hanging="0"/>
              <w:jc w:val="center"/>
              <w:rPr/>
            </w:pPr>
            <w:r>
              <w:rPr/>
              <w:t>​</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109" w:type="dxa"/>
            <w:tcBorders/>
            <w:vAlign w:val="center"/>
          </w:tcPr>
          <w:p>
            <w:pPr>
              <w:pStyle w:val="TableContents"/>
              <w:bidi w:val="0"/>
              <w:spacing w:before="0" w:after="1"/>
              <w:ind w:left="0" w:right="0" w:hanging="0"/>
              <w:jc w:val="center"/>
              <w:rPr/>
            </w:pPr>
            <w:r>
              <w:rPr/>
              <w:t>​</w:t>
            </w:r>
          </w:p>
        </w:tc>
        <w:tc>
          <w:tcPr>
            <w:tcW w:w="2135"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Note 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109" w:type="dxa"/>
            <w:tcBorders/>
            <w:shd w:fill="CCEEFF" w:val="clear"/>
            <w:vAlign w:val="center"/>
          </w:tcPr>
          <w:p>
            <w:pPr>
              <w:pStyle w:val="TableContents"/>
              <w:bidi w:val="0"/>
              <w:spacing w:before="0" w:after="1"/>
              <w:ind w:left="0" w:right="0" w:hanging="0"/>
              <w:jc w:val="center"/>
              <w:rPr/>
            </w:pPr>
            <w:r>
              <w:rPr/>
              <w:t>​</w:t>
            </w:r>
          </w:p>
        </w:tc>
        <w:tc>
          <w:tcPr>
            <w:tcW w:w="2135"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net purchased options</w:t>
            </w:r>
          </w:p>
        </w:tc>
        <w:tc>
          <w:tcPr>
            <w:tcW w:w="109" w:type="dxa"/>
            <w:tcBorders/>
            <w:vAlign w:val="center"/>
          </w:tcPr>
          <w:p>
            <w:pPr>
              <w:pStyle w:val="TableContents"/>
              <w:bidi w:val="0"/>
              <w:spacing w:before="0" w:after="1"/>
              <w:ind w:left="0" w:right="0" w:hanging="0"/>
              <w:jc w:val="center"/>
              <w:rPr/>
            </w:pPr>
            <w:r>
              <w:rPr/>
              <w:t>​</w:t>
            </w:r>
          </w:p>
        </w:tc>
        <w:tc>
          <w:tcPr>
            <w:tcW w:w="2135"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derivative assets</w:t>
            </w:r>
          </w:p>
        </w:tc>
        <w:tc>
          <w:tcPr>
            <w:tcW w:w="109" w:type="dxa"/>
            <w:tcBorders/>
            <w:shd w:fill="CCEEFF" w:val="clear"/>
            <w:vAlign w:val="center"/>
          </w:tcPr>
          <w:p>
            <w:pPr>
              <w:pStyle w:val="TableContents"/>
              <w:bidi w:val="0"/>
              <w:spacing w:before="0" w:after="1"/>
              <w:ind w:left="0" w:right="0" w:hanging="0"/>
              <w:jc w:val="center"/>
              <w:rPr/>
            </w:pPr>
            <w:r>
              <w:rPr/>
              <w:t>​</w:t>
            </w:r>
          </w:p>
        </w:tc>
        <w:tc>
          <w:tcPr>
            <w:tcW w:w="21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109" w:type="dxa"/>
            <w:tcBorders/>
            <w:vAlign w:val="center"/>
          </w:tcPr>
          <w:p>
            <w:pPr>
              <w:pStyle w:val="TableContents"/>
              <w:bidi w:val="0"/>
              <w:spacing w:before="0" w:after="1"/>
              <w:ind w:left="0" w:right="0" w:hanging="0"/>
              <w:jc w:val="center"/>
              <w:rPr/>
            </w:pPr>
            <w:r>
              <w:rPr/>
              <w:t>​</w:t>
            </w:r>
          </w:p>
        </w:tc>
        <w:tc>
          <w:tcPr>
            <w:tcW w:w="2135"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Note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22,914</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derivative assets</w:t>
            </w:r>
          </w:p>
        </w:tc>
        <w:tc>
          <w:tcPr>
            <w:tcW w:w="109" w:type="dxa"/>
            <w:tcBorders/>
            <w:shd w:fill="CCEEFF" w:val="clear"/>
            <w:vAlign w:val="center"/>
          </w:tcPr>
          <w:p>
            <w:pPr>
              <w:pStyle w:val="TableContents"/>
              <w:bidi w:val="0"/>
              <w:spacing w:before="0" w:after="1"/>
              <w:ind w:left="0" w:right="0" w:hanging="0"/>
              <w:jc w:val="center"/>
              <w:rPr/>
            </w:pPr>
            <w:r>
              <w:rPr/>
              <w:t>​</w:t>
            </w:r>
          </w:p>
        </w:tc>
        <w:tc>
          <w:tcPr>
            <w:tcW w:w="21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24,410</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designated as hedge accounting instruments:</w:t>
            </w:r>
          </w:p>
        </w:tc>
        <w:tc>
          <w:tcPr>
            <w:tcW w:w="109" w:type="dxa"/>
            <w:tcBorders/>
            <w:vAlign w:val="center"/>
          </w:tcPr>
          <w:p>
            <w:pPr>
              <w:pStyle w:val="TableContents"/>
              <w:bidi w:val="0"/>
              <w:spacing w:before="0" w:after="1"/>
              <w:ind w:left="0" w:right="0" w:hanging="0"/>
              <w:jc w:val="left"/>
              <w:rPr/>
            </w:pPr>
            <w:r>
              <w:rPr/>
              <w:t>​</w:t>
            </w:r>
          </w:p>
        </w:tc>
        <w:tc>
          <w:tcPr>
            <w:tcW w:w="21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pPr>
            <w:r>
              <w:rPr/>
              <w:t>​</w:t>
            </w:r>
          </w:p>
        </w:tc>
      </w:tr>
      <w:tr>
        <w:trPr/>
        <w:tc>
          <w:tcPr>
            <w:tcW w:w="54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109" w:type="dxa"/>
            <w:tcBorders/>
            <w:shd w:fill="CCEEFF" w:val="clear"/>
            <w:vAlign w:val="center"/>
          </w:tcPr>
          <w:p>
            <w:pPr>
              <w:pStyle w:val="TableContents"/>
              <w:bidi w:val="0"/>
              <w:spacing w:before="0" w:after="1"/>
              <w:ind w:left="0" w:right="0" w:hanging="0"/>
              <w:jc w:val="left"/>
              <w:rPr/>
            </w:pPr>
            <w:r>
              <w:rPr/>
              <w:t>​</w:t>
            </w:r>
          </w:p>
        </w:tc>
        <w:tc>
          <w:tcPr>
            <w:tcW w:w="2135"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546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derivative liabilities</w:t>
            </w:r>
          </w:p>
        </w:tc>
        <w:tc>
          <w:tcPr>
            <w:tcW w:w="109" w:type="dxa"/>
            <w:tcBorders/>
            <w:vAlign w:val="center"/>
          </w:tcPr>
          <w:p>
            <w:pPr>
              <w:pStyle w:val="TableContents"/>
              <w:bidi w:val="0"/>
              <w:spacing w:before="0" w:after="1"/>
              <w:ind w:left="0" w:right="0" w:hanging="0"/>
              <w:jc w:val="left"/>
              <w:rPr/>
            </w:pPr>
            <w:r>
              <w:rPr/>
              <w:t>​</w:t>
            </w:r>
          </w:p>
        </w:tc>
        <w:tc>
          <w:tcPr>
            <w:tcW w:w="21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567</w:t>
            </w:r>
          </w:p>
        </w:tc>
      </w:tr>
    </w:tbl>
    <w:p>
      <w:pPr>
        <w:pStyle w:val="TextBody"/>
        <w:bidi w:val="0"/>
        <w:spacing w:before="0" w:after="200"/>
        <w:ind w:left="0" w:right="0" w:hanging="0"/>
        <w:jc w:val="left"/>
        <w:rPr/>
      </w:pPr>
      <w:r>
        <w:rPr/>
        <w:t>​</w:t>
      </w:r>
    </w:p>
    <w:tbl>
      <w:tblPr>
        <w:tblW w:w="10186" w:type="dxa"/>
        <w:jc w:val="left"/>
        <w:tblInd w:w="0" w:type="dxa"/>
        <w:tblLayout w:type="fixed"/>
        <w:tblCellMar>
          <w:top w:w="0" w:type="dxa"/>
          <w:left w:w="0" w:type="dxa"/>
          <w:bottom w:w="0" w:type="dxa"/>
          <w:right w:w="0" w:type="dxa"/>
        </w:tblCellMar>
      </w:tblPr>
      <w:tblGrid>
        <w:gridCol w:w="5326"/>
        <w:gridCol w:w="109"/>
        <w:gridCol w:w="2176"/>
        <w:gridCol w:w="109"/>
        <w:gridCol w:w="324"/>
        <w:gridCol w:w="1041"/>
        <w:gridCol w:w="109"/>
        <w:gridCol w:w="211"/>
        <w:gridCol w:w="781"/>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382010" cy="175260"/>
                      <wp:effectExtent l="0" t="0" r="0" b="0"/>
                      <wp:wrapNone/>
                      <wp:docPr id="105" name="Frame104"/>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81760" cy="175260"/>
                      <wp:effectExtent l="0" t="0" r="0" b="0"/>
                      <wp:wrapNone/>
                      <wp:docPr id="107" name="Frame106"/>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5740" cy="175260"/>
                      <wp:effectExtent l="0" t="0" r="0" b="0"/>
                      <wp:wrapNone/>
                      <wp:docPr id="109" name="Frame108"/>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61035" cy="175260"/>
                      <wp:effectExtent l="0" t="0" r="0" b="0"/>
                      <wp:wrapNone/>
                      <wp:docPr id="110" name="Frame109"/>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326" w:type="dxa"/>
            <w:tcBorders/>
            <w:vAlign w:val="center"/>
          </w:tcPr>
          <w:p>
            <w:pPr>
              <w:pStyle w:val="TableContents"/>
              <w:bidi w:val="0"/>
              <w:spacing w:before="0" w:after="1"/>
              <w:ind w:left="0" w:right="0" w:hanging="0"/>
              <w:jc w:val="left"/>
              <w:rPr/>
            </w:pPr>
            <w:r>
              <w:rPr/>
              <w:t>​</w:t>
            </w:r>
          </w:p>
        </w:tc>
        <w:tc>
          <w:tcPr>
            <w:tcW w:w="22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hedge accounting instruments:</w:t>
            </w:r>
          </w:p>
        </w:tc>
        <w:tc>
          <w:tcPr>
            <w:tcW w:w="109" w:type="dxa"/>
            <w:tcBorders/>
            <w:shd w:fill="CCEEFF" w:val="clear"/>
            <w:vAlign w:val="center"/>
          </w:tcPr>
          <w:p>
            <w:pPr>
              <w:pStyle w:val="TableContents"/>
              <w:bidi w:val="0"/>
              <w:spacing w:before="0" w:after="1"/>
              <w:ind w:left="0" w:right="0" w:hanging="0"/>
              <w:jc w:val="center"/>
              <w:rPr/>
            </w:pPr>
            <w:r>
              <w:rPr/>
              <w:t>​</w:t>
            </w:r>
          </w:p>
        </w:tc>
        <w:tc>
          <w:tcPr>
            <w:tcW w:w="21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center"/>
              <w:rPr/>
            </w:pPr>
            <w:r>
              <w:rPr/>
              <w:t>​</w:t>
            </w:r>
          </w:p>
        </w:tc>
        <w:tc>
          <w:tcPr>
            <w:tcW w:w="10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109" w:type="dxa"/>
            <w:tcBorders/>
            <w:vAlign w:val="center"/>
          </w:tcPr>
          <w:p>
            <w:pPr>
              <w:pStyle w:val="TableContents"/>
              <w:bidi w:val="0"/>
              <w:spacing w:before="0" w:after="1"/>
              <w:ind w:left="0" w:right="0" w:hanging="0"/>
              <w:jc w:val="center"/>
              <w:rPr/>
            </w:pPr>
            <w:r>
              <w:rPr/>
              <w:t>​</w:t>
            </w:r>
          </w:p>
        </w:tc>
        <w:tc>
          <w:tcPr>
            <w:tcW w:w="21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Note 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109" w:type="dxa"/>
            <w:tcBorders/>
            <w:shd w:fill="CCEEFF" w:val="clear"/>
            <w:vAlign w:val="center"/>
          </w:tcPr>
          <w:p>
            <w:pPr>
              <w:pStyle w:val="TableContents"/>
              <w:bidi w:val="0"/>
              <w:spacing w:before="0" w:after="1"/>
              <w:ind w:left="0" w:right="0" w:hanging="0"/>
              <w:jc w:val="center"/>
              <w:rPr/>
            </w:pPr>
            <w:r>
              <w:rPr/>
              <w:t>​</w:t>
            </w:r>
          </w:p>
        </w:tc>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net purchased options</w:t>
            </w:r>
          </w:p>
        </w:tc>
        <w:tc>
          <w:tcPr>
            <w:tcW w:w="109" w:type="dxa"/>
            <w:tcBorders/>
            <w:vAlign w:val="center"/>
          </w:tcPr>
          <w:p>
            <w:pPr>
              <w:pStyle w:val="TableContents"/>
              <w:bidi w:val="0"/>
              <w:spacing w:before="0" w:after="1"/>
              <w:ind w:left="0" w:right="0" w:hanging="0"/>
              <w:jc w:val="center"/>
              <w:rPr/>
            </w:pPr>
            <w:r>
              <w:rPr/>
              <w:t>​</w:t>
            </w:r>
          </w:p>
        </w:tc>
        <w:tc>
          <w:tcPr>
            <w:tcW w:w="21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derivative assets</w:t>
            </w:r>
          </w:p>
        </w:tc>
        <w:tc>
          <w:tcPr>
            <w:tcW w:w="109" w:type="dxa"/>
            <w:tcBorders/>
            <w:shd w:fill="CCEEFF" w:val="clear"/>
            <w:vAlign w:val="center"/>
          </w:tcPr>
          <w:p>
            <w:pPr>
              <w:pStyle w:val="TableContents"/>
              <w:bidi w:val="0"/>
              <w:spacing w:before="0" w:after="1"/>
              <w:ind w:left="0" w:right="0" w:hanging="0"/>
              <w:jc w:val="center"/>
              <w:rPr/>
            </w:pPr>
            <w:r>
              <w:rPr/>
              <w:t>​</w:t>
            </w:r>
          </w:p>
        </w:tc>
        <w:tc>
          <w:tcPr>
            <w:tcW w:w="21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109" w:type="dxa"/>
            <w:tcBorders/>
            <w:vAlign w:val="center"/>
          </w:tcPr>
          <w:p>
            <w:pPr>
              <w:pStyle w:val="TableContents"/>
              <w:bidi w:val="0"/>
              <w:spacing w:before="0" w:after="1"/>
              <w:ind w:left="0" w:right="0" w:hanging="0"/>
              <w:jc w:val="center"/>
              <w:rPr/>
            </w:pPr>
            <w:r>
              <w:rPr/>
              <w:t>​</w:t>
            </w:r>
          </w:p>
        </w:tc>
        <w:tc>
          <w:tcPr>
            <w:tcW w:w="21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Note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17,692</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derivative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56,296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19,726</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908" w:name="_e22c2c23_8924_464a_aa8b_abe53573c6ab_3"/>
      <w:bookmarkStart w:id="909" w:name="_e22c2c23_8924_464a_aa8b_abe53573c6ab_2"/>
      <w:bookmarkStart w:id="910" w:name="_e22c2c23_8924_464a_aa8b_abe53573c6ab"/>
      <w:bookmarkEnd w:id="908"/>
      <w:bookmarkEnd w:id="909"/>
      <w:bookmarkEnd w:id="910"/>
      <w:r>
        <w:rPr>
          <w:rFonts w:ascii="Times New Roman;Times;serif" w:hAnsi="Times New Roman;Times;serif"/>
          <w:b/>
          <w:sz w:val="20"/>
        </w:rPr>
        <w:t xml:space="preserve">NOTE 6 – DERIVATIVES AND HEDGING (continued): </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Note 1: The Company’s investment in interest rate derivative instruments consists of three and five year investments in 3% interest rate floors to hedge interest income on a $1,900,000 notional investment of customer funds in floating rate cash equivalent instruments. The short-term portion of the investments’ fair value shown in the tables above relates to the portion of the hedge expiring within one year of the balance sheet date.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2025 and 2024, the Company recognized $3,285 and $28 in unrealized gains, net of tax, on derivative instruments designated as cash flow hedges in OCI,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2025, the Company estimated that $3,700 of unrealized losses related to cash flow hedges currently included in AOCI are expected to be reclassified into earnings within the next 12 months. As of March 31, 2025, the maximum length of time over which the Company is hedging its exposure to the variability in future cash flows for forecasted transactions is 55 months. During the three months ended March 31, 2025 and 2024, the Company did not discontinue any cash flow hedges because it was probable that the original forecasted transaction would not occur and as such, did not reclassify any gains or losses to earnings prior to the occurrence of the hedged transaction.</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March 31, 2025 and December 31, 2024, the Company recognized an obligation to return cash collateral related to interest rate floors of $24,260 and $18,790, respectively, which was offset against the gross derivative balances shown in the table above.</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11" w:name="Tc_y487pPp_KEeBjnbwnyrfaQ_16_10"/>
      <w:bookmarkStart w:id="912" w:name="Tc_kgFpW0XiGE6iWIf0k0EZTQ_16_7"/>
      <w:bookmarkStart w:id="913" w:name="Tc_bXs-b9Kbb0q5dqXkYBE_uw_16_4"/>
      <w:bookmarkStart w:id="914" w:name="Tc_Xi1-bYoZvUyp94Wj0P_UzA_16_2"/>
      <w:bookmarkStart w:id="915" w:name="Tc_nObGnMwJyUaxPmyJ2okNMw_16_1"/>
      <w:bookmarkStart w:id="916" w:name="Tc_GudsFd5LlUup3kHfV43wcQ_16_0"/>
      <w:bookmarkStart w:id="917" w:name="Tc_Dzhxx0NvaU-9Ga1QCHM4IA_15_10"/>
      <w:bookmarkStart w:id="918" w:name="Tc_y6JHX0qtZUmXt2SLTJV6mw_15_7"/>
      <w:bookmarkStart w:id="919" w:name="Tc_cgJayDh9N0iSywAzswn8Cg_15_5"/>
      <w:bookmarkStart w:id="920" w:name="Tc_V1fM3l5_Yk-wWaF5G2AyLA_15_4"/>
      <w:bookmarkStart w:id="921" w:name="Tc_XMg57ONJXEKmDeYgkXURBQ_15_2"/>
      <w:bookmarkStart w:id="922" w:name="Tc_MiC-k_RsHkG1XFuhXxFsXg_15_1"/>
      <w:bookmarkStart w:id="923" w:name="Tc_enfuqFd_p0mdxWGOnpR2OA_15_0"/>
      <w:bookmarkStart w:id="924" w:name="Tc__DayVWZQ3066JfjgXsreEA_14_10"/>
      <w:bookmarkStart w:id="925" w:name="Tc_Tf2SDT9YlUKUgr7ZZA4PgA_14_8"/>
      <w:bookmarkStart w:id="926" w:name="Tc_lJJtvtYLuk2d9WBhYiRylA_14_7"/>
      <w:bookmarkStart w:id="927" w:name="Tc_Ed6pkoaXyk2fFKoz5zkjHQ_14_4"/>
      <w:bookmarkStart w:id="928" w:name="Tc_FV5D8tgSS0yfB6oowh_jfg_14_2"/>
      <w:bookmarkStart w:id="929" w:name="Tc_xuiQJYw9mkO4FoSPZb9rmQ_14_1"/>
      <w:bookmarkStart w:id="930" w:name="Tc_k9J-yEXrXE258HLqcy0VgA_14_0"/>
      <w:bookmarkStart w:id="931" w:name="Tc_kArDxQP7A0-XCOfea1lO1A_13_10"/>
      <w:bookmarkStart w:id="932" w:name="Tc_oxoNjL2-7kycy6SHdgSkjg_13_8"/>
      <w:bookmarkStart w:id="933" w:name="Tc_cbOXJ3Yp70W1DNO5-5GljA_13_7"/>
      <w:bookmarkStart w:id="934" w:name="Tc_OTT3lPPJuEi1L_m2UoZCzQ_13_4"/>
      <w:bookmarkStart w:id="935" w:name="Tc_5ZNwRc3NMku3YdQklRShiQ_13_2"/>
      <w:bookmarkStart w:id="936" w:name="Tc_6YoLXiJZhkWnn8_lyLYUZw_13_1"/>
      <w:bookmarkStart w:id="937" w:name="Tc_4clFrBh3HE-ehKVCh7ICHA_13_0"/>
      <w:bookmarkStart w:id="938" w:name="Tc_pxZCCIABIkuiGclz05z2lA_12_0"/>
      <w:bookmarkStart w:id="939" w:name="Tc_yypa_3Pm906tQN6SeGsKnA_11_10"/>
      <w:bookmarkStart w:id="940" w:name="Tc_rEXuh68kBUGL0DTFqQ8lgw_11_8"/>
      <w:bookmarkStart w:id="941" w:name="Tc_YfUscLSlgEWUDRN3f9IKeg_11_7"/>
      <w:bookmarkStart w:id="942" w:name="Tc_g5ao5fAQCEy4FOdgsLK2Ig_11_4"/>
      <w:bookmarkStart w:id="943" w:name="Tc_c3i8Fbp4LESpCWY6OGX-KQ_11_1"/>
      <w:bookmarkStart w:id="944" w:name="Tc_YI59LRINj0WPYnhCSiVnVQ_11_0"/>
      <w:bookmarkStart w:id="945" w:name="Tc_zQMlqa4QeE-zQwXUJzi8Qg_10_10"/>
      <w:bookmarkStart w:id="946" w:name="Tc_f7gemZAfQU6ywX_TAwit5Q_10_8"/>
      <w:bookmarkStart w:id="947" w:name="Tc_DqrrmmWpFEWBUYATXnyLPA_10_7"/>
      <w:bookmarkStart w:id="948" w:name="Tc_AExCqDMJoEmsRgLJ5TBRGg_10_4"/>
      <w:bookmarkStart w:id="949" w:name="Tc_g66cUEwHgk2Irv6eUmFUew_10_2"/>
      <w:bookmarkStart w:id="950" w:name="Tc_xvrZdIthD0yjzyJ72B_bjw_10_1"/>
      <w:bookmarkStart w:id="951" w:name="Tc_KIHZQRA44UK686tF7OzlYw_10_0"/>
      <w:bookmarkStart w:id="952" w:name="Tc_QTw2BQAvZkSvTrjUXtO04g_9_0"/>
      <w:bookmarkStart w:id="953" w:name="Tc_SsKouM8HeUmGS0yoLvuJrQ_8_10"/>
      <w:bookmarkStart w:id="954" w:name="Tc_d_5f8pLx9UCZ6Kk2ZuqHuQ_8_8"/>
      <w:bookmarkStart w:id="955" w:name="Tc_6I50U6KYlkuEGY-x0FVrDA_8_7"/>
      <w:bookmarkStart w:id="956" w:name="Tc_kfd_2ZubTUePGjmGbb0LOg_8_4"/>
      <w:bookmarkStart w:id="957" w:name="Tc_abIlH3AWTE-d6yh3N6Zx5Q_8_2"/>
      <w:bookmarkStart w:id="958" w:name="Tc_O96WrN02wE2H8ignSI8YMg_8_1"/>
      <w:bookmarkStart w:id="959" w:name="Tc_vmD1e03zyECFL_gZowbfmg_8_0"/>
      <w:bookmarkStart w:id="960" w:name="Tc_R0dgb3YBu0i4AiX10nAPgQ_7_8"/>
      <w:bookmarkStart w:id="961" w:name="Tc_Zv_ZUlWlqk61oGb3QvZH3g_7_2"/>
      <w:bookmarkStart w:id="962" w:name="Tc_G72l1H7sqke0Q_ARFHCUvA_7_0"/>
      <w:bookmarkStart w:id="963" w:name="Tc_NqTzAqrPXkao9Id-WOQiPg_6_8"/>
      <w:bookmarkStart w:id="964" w:name="Tc_lG9RS7KX8Eun7fBUDjperg_6_2"/>
      <w:bookmarkStart w:id="965" w:name="Tc_0FgWYbuKy0mI7dzugGm87Q_6_0"/>
      <w:bookmarkStart w:id="966" w:name="Tc_a9T9-Yse9UGhaZEOZlgAlw_5_10"/>
      <w:bookmarkStart w:id="967" w:name="Tc_eGUZUSVG4k6ZLGf1LQVaWg_5_8"/>
      <w:bookmarkStart w:id="968" w:name="Tc_RDpQDrzcKUeb2nhXFmLQug_5_7"/>
      <w:bookmarkStart w:id="969" w:name="Tc_OfNJXPLiSEmuFYpmfXYsaw_5_4"/>
      <w:bookmarkStart w:id="970" w:name="Tc_-I_3iDEk7ECMnr7J7jPIBQ_5_2"/>
      <w:bookmarkStart w:id="971" w:name="Tc_yTvrFX_5mk-BAWZAs7P8Ig_5_1"/>
      <w:bookmarkStart w:id="972" w:name="Tc_z3CAD-XEF06UJqPdUNHwwQ_5_0"/>
      <w:bookmarkStart w:id="973" w:name="Tc_YQHV2OGYa0uhjrR41PcS0Q_4_0"/>
      <w:bookmarkStart w:id="974" w:name="Tc_5xQpZMDwvkacquvvpX2q4g_3_10"/>
      <w:bookmarkStart w:id="975" w:name="Tc_Yr8jCF8lEUisQWoCnLWx9g_3_8"/>
      <w:bookmarkStart w:id="976" w:name="Tc_4L_WvaXQsUWfz_XsnuU6Ow_3_7"/>
      <w:bookmarkStart w:id="977" w:name="Tc_mM26VvNMv0-LST6whgPUlg_3_5"/>
      <w:bookmarkStart w:id="978" w:name="Tc_60X31WMzf0Go3YQfwx0yLA_3_4"/>
      <w:bookmarkStart w:id="979" w:name="Tc_rGntWpuTZUmKagc26vXK-g_3_1"/>
      <w:bookmarkStart w:id="980" w:name="Tc_o_HkqySf9ke5NfFnuYAOVg_3_0"/>
      <w:bookmarkStart w:id="981" w:name="Tc_fh7XrC7dOEaoN8fqBJF-9w_2_10"/>
      <w:bookmarkStart w:id="982" w:name="Tc_bR0ZPwiOEkChyaPf5IhdJQ_2_7"/>
      <w:bookmarkStart w:id="983" w:name="Tc_p7GzeEaRoEaYthNSbjPoLw_2_4"/>
      <w:bookmarkStart w:id="984" w:name="Tc_Gjnt0Te8A0mjd3zSkMNd-w_2_1"/>
      <w:bookmarkStart w:id="985" w:name="Tc_l6FQB4IqnUyP66WUoSfXNQ_1_1"/>
      <w:bookmarkStart w:id="986" w:name="_6e360729_89e6_49fa_ac43_43a7f5201ac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sz w:val="20"/>
        </w:rPr>
        <w:t>NOTE 7 – FAIR VALUE</w:t>
      </w:r>
    </w:p>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tables summarize the Company’s financial assets and liabilities measured at fair value on a recurring basis as of March 31, 2025 and December 31, 2024:</w:t>
      </w:r>
    </w:p>
    <w:p>
      <w:pPr>
        <w:pStyle w:val="TextBody"/>
        <w:bidi w:val="0"/>
        <w:spacing w:before="0" w:after="0"/>
        <w:ind w:left="0" w:right="0" w:hanging="0"/>
        <w:jc w:val="left"/>
        <w:rPr/>
      </w:pPr>
      <w:r>
        <w:rPr/>
        <w:t>​</w:t>
      </w:r>
    </w:p>
    <w:tbl>
      <w:tblPr>
        <w:tblW w:w="9996" w:type="dxa"/>
        <w:jc w:val="left"/>
        <w:tblInd w:w="0" w:type="dxa"/>
        <w:tblLayout w:type="fixed"/>
        <w:tblCellMar>
          <w:top w:w="0" w:type="dxa"/>
          <w:left w:w="0" w:type="dxa"/>
          <w:bottom w:w="0" w:type="dxa"/>
          <w:right w:w="0" w:type="dxa"/>
        </w:tblCellMar>
      </w:tblPr>
      <w:tblGrid>
        <w:gridCol w:w="5671"/>
        <w:gridCol w:w="211"/>
        <w:gridCol w:w="931"/>
        <w:gridCol w:w="109"/>
        <w:gridCol w:w="211"/>
        <w:gridCol w:w="676"/>
        <w:gridCol w:w="109"/>
        <w:gridCol w:w="211"/>
        <w:gridCol w:w="571"/>
        <w:gridCol w:w="109"/>
        <w:gridCol w:w="211"/>
        <w:gridCol w:w="97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01085" cy="175260"/>
                      <wp:effectExtent l="0" t="0" r="0" b="0"/>
                      <wp:wrapNone/>
                      <wp:docPr id="114" name="Frame113"/>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16" name="Frame1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9260" cy="175260"/>
                      <wp:effectExtent l="0" t="0" r="0" b="0"/>
                      <wp:wrapNone/>
                      <wp:docPr id="119"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62585" cy="175260"/>
                      <wp:effectExtent l="0" t="0" r="0" b="0"/>
                      <wp:wrapNone/>
                      <wp:docPr id="122"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19760" cy="175260"/>
                      <wp:effectExtent l="0" t="0" r="0" b="0"/>
                      <wp:wrapNone/>
                      <wp:docPr id="125" name="Frame12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43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r>
      <w:tr>
        <w:trPr/>
        <w:tc>
          <w:tcPr>
            <w:tcW w:w="567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(included within Customer funds)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1,192,329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1,192,329</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(included within Other current assets)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net purchased options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derivative assets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(included within Other non-current assets)</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22,914</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1,192,329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1,216,739</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(included within Other payables)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Skuad acquisition earnout liability (included within Other payables)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9,576</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987" w:name="Tc_ogDfCrbrk0ue3IBltu5SfA_14_10"/>
      <w:bookmarkStart w:id="988" w:name="Tc_TDZSHkpovU22F6LH_qwcMg_14_7"/>
      <w:bookmarkStart w:id="989" w:name="Tc_dEOZXtfS2U2gjKK2nih7lQ_14_5"/>
      <w:bookmarkStart w:id="990" w:name="Tc_Z5riRpeMD0S0m156jOsIIg_14_4"/>
      <w:bookmarkStart w:id="991" w:name="Tc_dwmUOfSjl0Kr5lRO92sTUw_14_2"/>
      <w:bookmarkStart w:id="992" w:name="Tc_VGejQU1WukGy3A-Jbt5NKg_14_1"/>
      <w:bookmarkStart w:id="993" w:name="Tc_A4MHhOhDOkis-D6xEmOV9Q_14_0"/>
      <w:bookmarkStart w:id="994" w:name="Tc_xsBbz5d-IUCKfziNw7x9BQ_13_10"/>
      <w:bookmarkStart w:id="995" w:name="Tc_FnzPITr8tEu8CJ7UrTsIuQ_13_7"/>
      <w:bookmarkStart w:id="996" w:name="Tc_uIZhOvVuuUKCaIQrBZ_FyQ_13_5"/>
      <w:bookmarkStart w:id="997" w:name="Tc_2vFJLqVlwEO5vI5QXpZPbg_13_4"/>
      <w:bookmarkStart w:id="998" w:name="Tc__Rsgw30_NUq8PoBD4KShCw_13_2"/>
      <w:bookmarkStart w:id="999" w:name="Tc_KSJA9N3fpEeYNYlWXmnUyw_13_1"/>
      <w:bookmarkStart w:id="1000" w:name="Tc_VVoeFRgGUUK41IsUwX8WUw_13_0"/>
      <w:bookmarkStart w:id="1001" w:name="Tc_ly0FvK-uLUqRQffV0jSKkg_12_10"/>
      <w:bookmarkStart w:id="1002" w:name="Tc_BZVAODMaTka85BqE4SiXNw_12_7"/>
      <w:bookmarkStart w:id="1003" w:name="Tc_zHEhJea3r0C-AKjZtfNKkQ_12_5"/>
      <w:bookmarkStart w:id="1004" w:name="Tc_5MSBFvqfvUSFGc4urMgpCQ_12_4"/>
      <w:bookmarkStart w:id="1005" w:name="Tc_fuFeZ0dgc0etBfHga5NTIw_12_2"/>
      <w:bookmarkStart w:id="1006" w:name="Tc_2pQIwAIWu0aVt7a_6WWZuQ_12_1"/>
      <w:bookmarkStart w:id="1007" w:name="Tc_WIDdEHu4QU67AQwew6pU3Q_12_0"/>
      <w:bookmarkStart w:id="1008" w:name="Tc_Olg5tl311U-vL7AiiJKYew_11_10"/>
      <w:bookmarkStart w:id="1009" w:name="Tc_tlp48_J5hkKHExhCaYzAnQ_11_8"/>
      <w:bookmarkStart w:id="1010" w:name="Tc_c02sEXYSi02cdBwChB6-rg_11_7"/>
      <w:bookmarkStart w:id="1011" w:name="Tc_F-IPgPDR2EmZ7Kyutyz2KA_11_4"/>
      <w:bookmarkStart w:id="1012" w:name="Tc_QLV3I2VA7kOfJkvD4mO1qg_11_1"/>
      <w:bookmarkStart w:id="1013" w:name="Tc_5WQyQQKUtEqTa3DEBZLvNg_11_0"/>
      <w:bookmarkStart w:id="1014" w:name="Tc_sYukELAY30m0PCTIb5di2g_10_10"/>
      <w:bookmarkStart w:id="1015" w:name="Tc_QfVodthXeUGjhPw3f9EqeA_10_8"/>
      <w:bookmarkStart w:id="1016" w:name="Tc_8PPYruzpFkSrlnX8AhF4Pw_10_7"/>
      <w:bookmarkStart w:id="1017" w:name="Tc_H8c72Ql430idxBKMLkredQ_10_4"/>
      <w:bookmarkStart w:id="1018" w:name="Tc_6RrSZ1yYVUiIbrC6tQ-UCw_10_2"/>
      <w:bookmarkStart w:id="1019" w:name="Tc_UNn9GkZZLEWuRnNXNSzGxA_10_1"/>
      <w:bookmarkStart w:id="1020" w:name="Tc_rMnFXT5m4UiB4A3K9_5vNw_10_0"/>
      <w:bookmarkStart w:id="1021" w:name="Tc_rhW-q3JURUy_J_RHuxsBgw_9_0"/>
      <w:bookmarkStart w:id="1022" w:name="Tc_1IonVTV6HEW6o4jxUNiu2A_8_10"/>
      <w:bookmarkStart w:id="1023" w:name="Tc_9V0K15cSXkyaKTPucOv4Zw_8_8"/>
      <w:bookmarkStart w:id="1024" w:name="Tc_4mafTQhwjkmTZQQTCDq2bg_8_7"/>
      <w:bookmarkStart w:id="1025" w:name="Tc_WdAZDha9B0i3Py9U129vzA_8_4"/>
      <w:bookmarkStart w:id="1026" w:name="Tc_V97kSb1oRU-ZiMk8tOz_4Q_8_2"/>
      <w:bookmarkStart w:id="1027" w:name="Tc_AGf5lSSo_02G0Mbr2fFPAA_8_1"/>
      <w:bookmarkStart w:id="1028" w:name="Tc_iDv5app2BkOUHlvPr8Y1OA_8_0"/>
      <w:bookmarkStart w:id="1029" w:name="Tc_6Cs32WI-uUyEVuowwI1hZg_7_8"/>
      <w:bookmarkStart w:id="1030" w:name="Tc_2uTnr6oePU2YSDBOxb3eZg_7_2"/>
      <w:bookmarkStart w:id="1031" w:name="Tc_oiJCb8uWnEmBlMS5NDqfyw_7_0"/>
      <w:bookmarkStart w:id="1032" w:name="Tc_Pmvt8DGzfEeKtI8MIUQC_g_6_8"/>
      <w:bookmarkStart w:id="1033" w:name="Tc_sfBr91xKDU-9mTQnthgLLg_6_2"/>
      <w:bookmarkStart w:id="1034" w:name="Tc_f8ZrFmrKP06x2mPTq4XaAA_6_0"/>
      <w:bookmarkStart w:id="1035" w:name="Tc_8Paf8sZ5EE-CzkIokS6rSA_5_10"/>
      <w:bookmarkStart w:id="1036" w:name="Tc_03FVYiPoOEGHmyKx6DXHIg_5_8"/>
      <w:bookmarkStart w:id="1037" w:name="Tc_XyZxTyYZQ06kvWWAcaMOyA_5_7"/>
      <w:bookmarkStart w:id="1038" w:name="Tc_ZV7kBGYB7USVyQwSu3WnrA_5_4"/>
      <w:bookmarkStart w:id="1039" w:name="Tc_HTNOd4kFJ0ma9NAUH4qpeg_5_2"/>
      <w:bookmarkStart w:id="1040" w:name="Tc_NKcgk6OV4ki4MCNNx_NFCA_5_1"/>
      <w:bookmarkStart w:id="1041" w:name="Tc_pnKvK3nNbkee8NVr1FEozw_5_0"/>
      <w:bookmarkStart w:id="1042" w:name="Tc_Pi3oVUPeZUC1jgsGvbDNfg_4_0"/>
      <w:bookmarkStart w:id="1043" w:name="Tc_ew8w2kouSEy5WqrqhP1Lvg_3_10"/>
      <w:bookmarkStart w:id="1044" w:name="Tc_YTvWVDDwQ0KUja5I0tOW0g_3_8"/>
      <w:bookmarkStart w:id="1045" w:name="Tc_OWus3DqbH0-SFJFxZ1cfBA_3_7"/>
      <w:bookmarkStart w:id="1046" w:name="Tc_AtGpYku68EasqI2uU6GFGg_3_5"/>
      <w:bookmarkStart w:id="1047" w:name="Tc_w0ai1qtK4UyLFYTEsaBUyA_3_4"/>
      <w:bookmarkStart w:id="1048" w:name="Tc_uuVSs3UqfU-S8lAcvlSi8A_3_1"/>
      <w:bookmarkStart w:id="1049" w:name="Tc_y6oB6dVosUCbr3GSOGcBYw_3_0"/>
      <w:bookmarkStart w:id="1050" w:name="Tc_dBl3E0rRJUGq6ZMsxf5jYA_2_10"/>
      <w:bookmarkStart w:id="1051" w:name="Tc_VQsiKqDIA0uBD1Te6X_8Lw_2_7"/>
      <w:bookmarkStart w:id="1052" w:name="Tc_lfsZXe8SwUu8cG1xkVIGeQ_2_4"/>
      <w:bookmarkStart w:id="1053" w:name="Tc_N9wESfN_qkyjVzdniUh5KQ_2_1"/>
      <w:bookmarkStart w:id="1054" w:name="Tc_-96O2jX9pUCdJlhejMmPBA_1_1"/>
      <w:bookmarkStart w:id="1055" w:name="_8a984df1_32ac_4a08_b5ec_7e0bfd56184d"/>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rFonts w:ascii="Times New Roman;Times;serif" w:hAnsi="Times New Roman;Times;serif"/>
          <w:b/>
          <w:sz w:val="20"/>
        </w:rPr>
        <w:t>NOTE 7 – FAIR VALUE (continued):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80"/>
        <w:gridCol w:w="211"/>
        <w:gridCol w:w="931"/>
        <w:gridCol w:w="109"/>
        <w:gridCol w:w="211"/>
        <w:gridCol w:w="676"/>
        <w:gridCol w:w="109"/>
        <w:gridCol w:w="211"/>
        <w:gridCol w:w="571"/>
        <w:gridCol w:w="109"/>
        <w:gridCol w:w="211"/>
        <w:gridCol w:w="976"/>
      </w:tblGrid>
      <w:tr>
        <w:trPr/>
        <w:tc>
          <w:tcPr>
            <w:tcW w:w="5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733800" cy="175260"/>
                      <wp:effectExtent l="0" t="0" r="0" b="0"/>
                      <wp:wrapNone/>
                      <wp:docPr id="126" name="Frame125"/>
                      <a:graphic xmlns:a="http://schemas.openxmlformats.org/drawingml/2006/main">
                        <a:graphicData uri="http://schemas.microsoft.com/office/word/2010/wordprocessingShape">
                          <wps:wsp>
                            <wps:cNvSpPr txBox="1"/>
                            <wps:spPr>
                              <a:xfrm>
                                <a:off x="0" y="0"/>
                                <a:ext cx="3733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1185" cy="175260"/>
                      <wp:effectExtent l="0" t="0" r="0" b="0"/>
                      <wp:wrapNone/>
                      <wp:docPr id="128" name="Frame1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260" cy="175260"/>
                      <wp:effectExtent l="0" t="0" r="0" b="0"/>
                      <wp:wrapNone/>
                      <wp:docPr id="131"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2585" cy="175260"/>
                      <wp:effectExtent l="0" t="0" r="0" b="0"/>
                      <wp:wrapNone/>
                      <wp:docPr id="134"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19760" cy="175260"/>
                      <wp:effectExtent l="0" t="0" r="0" b="0"/>
                      <wp:wrapNone/>
                      <wp:docPr id="137" name="Frame13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0" w:type="dxa"/>
            <w:tcBorders/>
            <w:vAlign w:val="center"/>
          </w:tcPr>
          <w:p>
            <w:pPr>
              <w:pStyle w:val="TableContents"/>
              <w:bidi w:val="0"/>
              <w:spacing w:before="0" w:after="0"/>
              <w:ind w:left="0" w:right="0" w:hanging="0"/>
              <w:jc w:val="left"/>
              <w:rPr/>
            </w:pPr>
            <w:r>
              <w:rPr/>
              <w:t>​</w:t>
            </w:r>
          </w:p>
        </w:tc>
        <w:tc>
          <w:tcPr>
            <w:tcW w:w="43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5880"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(included within Customer funds)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1,174,937</w:t>
            </w:r>
          </w:p>
        </w:tc>
      </w:tr>
      <w:tr>
        <w:trPr/>
        <w:tc>
          <w:tcPr>
            <w:tcW w:w="5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(included within Other current assets)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5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5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5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net purchased options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5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derivative assets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r>
      <w:tr>
        <w:trPr/>
        <w:tc>
          <w:tcPr>
            <w:tcW w:w="5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 (included within Other non-current assets)</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5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floors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17,692</w:t>
            </w:r>
          </w:p>
        </w:tc>
      </w:tr>
      <w:tr>
        <w:trPr/>
        <w:tc>
          <w:tcPr>
            <w:tcW w:w="5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1,174,937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1,194,663</w:t>
            </w:r>
          </w:p>
        </w:tc>
      </w:tr>
      <w:tr>
        <w:trPr/>
        <w:tc>
          <w:tcPr>
            <w:tcW w:w="5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Skuad acquisition earnout liability (incuded within Other payables)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58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Skuad acquisition earnout liability (included within Other long-term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8,021</w:t>
            </w:r>
          </w:p>
        </w:tc>
      </w:tr>
      <w:tr>
        <w:trPr/>
        <w:tc>
          <w:tcPr>
            <w:tcW w:w="58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foreign currency derivative instruments are valued using pricing models that take into account the contract terms and relevant currency rates. The Company’s interest rate floors are valued using pricing models that take into account the contract terms and relevant interest rates.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March 31, 2025 and December 31, 2024, the fair values of the Company's cash, cash equivalents, customer funds (other than the portion consisting of available-for-sale debt securities), restricted cash, accounts receivable, capital advance receivables, accounts payable, and outstanding operating balances approximated the carrying values of these instruments presented in the Company's condensed consolidated balance sheets because of their nature. </w:t>
      </w:r>
    </w:p>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2024, the Company recognized a liability for contingent consideration related to the Skuad acquisition, and recognized $265 during the three months ended March 31, 2025 in loss related to the change in the fair value of the liability, included within General and administrative expenses on the condensed consolidated statements of comprehensive income. Refer to Note 3 above for additional details around valuation. </w:t>
      </w:r>
    </w:p>
    <w:p>
      <w:pPr>
        <w:pStyle w:val="TextBody"/>
        <w:bidi w:val="0"/>
        <w:spacing w:before="0" w:after="200"/>
        <w:ind w:left="0" w:right="0" w:firstLine="360"/>
        <w:jc w:val="left"/>
        <w:rPr/>
      </w:pPr>
      <w:r>
        <w:rPr/>
        <w:t>​</w:t>
      </w:r>
    </w:p>
    <w:p>
      <w:pPr>
        <w:pStyle w:val="TextBody"/>
        <w:bidi w:val="0"/>
        <w:spacing w:before="0" w:after="160"/>
        <w:ind w:left="0" w:right="0" w:hanging="0"/>
        <w:jc w:val="left"/>
        <w:rPr>
          <w:rFonts w:ascii="Times New Roman;Times;serif" w:hAnsi="Times New Roman;Times;serif"/>
          <w:b/>
          <w:sz w:val="20"/>
        </w:rPr>
      </w:pPr>
      <w:bookmarkStart w:id="1056" w:name="Tc_MAbSLsKm4kCSRtq6PtZ7oA_8_5"/>
      <w:bookmarkStart w:id="1057" w:name="Tc_Qs5XXRZV0kePTT_fVrSUNg_8_2"/>
      <w:bookmarkStart w:id="1058" w:name="Tc_KHQ7tyfukEetiKKEfJo2jQ_8_0"/>
      <w:bookmarkStart w:id="1059" w:name="Tc_-p1d5USmUUursrKxCPOEZg_7_0"/>
      <w:bookmarkStart w:id="1060" w:name="Tc_NQrR_hTx_k-WDSxzoXspKg_6_0"/>
      <w:bookmarkStart w:id="1061" w:name="Tc_g1YhaKueXEC4Vv47hs2ORQ_5_0"/>
      <w:bookmarkStart w:id="1062" w:name="Tc_NWXEcv75HU6eN1nLIxd0bQ_4_0"/>
      <w:bookmarkStart w:id="1063" w:name="Tc_tXQgxa_BcUajBfc8oLtN6A_3_5"/>
      <w:bookmarkStart w:id="1064" w:name="Tc_zXklX00hs0yWLurB8TQ4ig_3_2"/>
      <w:bookmarkStart w:id="1065" w:name="Tc_-p8EKb-Qw0qLamTVEsD6HQ_3_0"/>
      <w:bookmarkStart w:id="1066" w:name="Tc_6WBV-NgA3kGlNcoWx_nIyg_2_5"/>
      <w:bookmarkStart w:id="1067" w:name="Tc_sgw3p8moPkehMio1osXSTw_2_2"/>
      <w:bookmarkStart w:id="1068" w:name="Tc_jgXbL9qMU0u87F020JuILQ_1_5"/>
      <w:bookmarkStart w:id="1069" w:name="Tc_-vK6X1UDIkWIVuSKeymtAg_1_2"/>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ascii="Times New Roman;Times;serif" w:hAnsi="Times New Roman;Times;serif"/>
          <w:b/>
          <w:sz w:val="20"/>
        </w:rPr>
        <w:t>NOTE 8 - OTHER CURRENT ASSETS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Composition of Other current assets, grouped by major classifications, is as follows:</w:t>
      </w:r>
    </w:p>
    <w:p>
      <w:pPr>
        <w:pStyle w:val="TextBody"/>
        <w:bidi w:val="0"/>
        <w:spacing w:before="0" w:after="0"/>
        <w:ind w:left="0" w:right="0" w:hanging="0"/>
        <w:jc w:val="left"/>
        <w:rPr/>
      </w:pPr>
      <w:r>
        <w:rPr/>
        <w:t>​</w:t>
      </w:r>
    </w:p>
    <w:tbl>
      <w:tblPr>
        <w:tblW w:w="4913" w:type="dxa"/>
        <w:jc w:val="left"/>
        <w:tblInd w:w="0" w:type="dxa"/>
        <w:tblLayout w:type="fixed"/>
        <w:tblCellMar>
          <w:top w:w="0" w:type="dxa"/>
          <w:left w:w="0" w:type="dxa"/>
          <w:bottom w:w="0" w:type="dxa"/>
          <w:right w:w="0" w:type="dxa"/>
        </w:tblCellMar>
      </w:tblPr>
      <w:tblGrid>
        <w:gridCol w:w="2176"/>
        <w:gridCol w:w="326"/>
        <w:gridCol w:w="214"/>
        <w:gridCol w:w="686"/>
        <w:gridCol w:w="326"/>
        <w:gridCol w:w="252"/>
        <w:gridCol w:w="933"/>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81760" cy="175260"/>
                      <wp:effectExtent l="0" t="0" r="0" b="0"/>
                      <wp:wrapNone/>
                      <wp:docPr id="138" name="Frame137"/>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5890" cy="175260"/>
                      <wp:effectExtent l="0" t="0" r="0" b="0"/>
                      <wp:wrapNone/>
                      <wp:docPr id="140" name="Frame13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5610" cy="175260"/>
                      <wp:effectExtent l="0" t="0" r="0" b="0"/>
                      <wp:wrapNone/>
                      <wp:docPr id="141" name="Frame14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0020" cy="175260"/>
                      <wp:effectExtent l="0" t="0" r="0" b="0"/>
                      <wp:wrapNone/>
                      <wp:docPr id="143" name="Frame1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2455" cy="175260"/>
                      <wp:effectExtent l="0" t="0" r="0" b="0"/>
                      <wp:wrapNone/>
                      <wp:docPr id="144" name="Frame14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34,677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21,429</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receivable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33,476</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7,356</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70,832</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88,210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160"/>
        <w:ind w:left="0" w:right="0" w:hanging="0"/>
        <w:jc w:val="left"/>
        <w:rPr>
          <w:rFonts w:ascii="Times New Roman;Times;serif" w:hAnsi="Times New Roman;Times;serif"/>
          <w:b/>
          <w:sz w:val="20"/>
        </w:rPr>
      </w:pPr>
      <w:bookmarkStart w:id="1070" w:name="Tc_5q1w7MSDnkK9KzGlp_ypbw_8_5"/>
      <w:bookmarkStart w:id="1071" w:name="Tc_cTyFakTVWEGHRU5pdrAl3w_8_2"/>
      <w:bookmarkStart w:id="1072" w:name="Tc_G2ezhCty20ernGX1LCP03w_8_0"/>
      <w:bookmarkStart w:id="1073" w:name="Tc_aVLRr7k8jkKmKLdxYwE7Pw_7_0"/>
      <w:bookmarkStart w:id="1074" w:name="Tc_YUsYmCxIRECDsPlIeNJcmA_6_0"/>
      <w:bookmarkStart w:id="1075" w:name="Tc_5y5OcfkwXUOPcX9_kWRqfA_5_0"/>
      <w:bookmarkStart w:id="1076" w:name="Tc_HS3XvnZ0m06vVFVUszVMOg_4_0"/>
      <w:bookmarkStart w:id="1077" w:name="Tc_ytHlh16BvECjbWSbBQ0Gzg_3_5"/>
      <w:bookmarkStart w:id="1078" w:name="Tc_GxRGsN57A0qqNW14nmQkRQ_3_2"/>
      <w:bookmarkStart w:id="1079" w:name="Tc_lvODSJ4l50aAPoSq9_PNQg_3_0"/>
      <w:bookmarkStart w:id="1080" w:name="Tc_Q93ETT6CQ0GYpzsDBuKlrQ_2_5"/>
      <w:bookmarkStart w:id="1081" w:name="Tc_Z-pcfBmFb0i00zg_uXrmxQ_2_2"/>
      <w:bookmarkStart w:id="1082" w:name="Tc_NMeJ3uYyQEaQkyI8880HGA_1_5"/>
      <w:bookmarkStart w:id="1083" w:name="Tc_m2Ldh45TxUuIa6sZX_-FNQ_1_2"/>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sz w:val="20"/>
        </w:rPr>
        <w:t>NOTE 9 – PROPERTY, EQUIPMENT AND SOFTWARE</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Composition of property, equipment and software, grouped by major classifications, is as follows:</w:t>
      </w:r>
    </w:p>
    <w:p>
      <w:pPr>
        <w:pStyle w:val="TextBody"/>
        <w:bidi w:val="0"/>
        <w:spacing w:before="0" w:after="0"/>
        <w:ind w:left="0" w:right="0" w:hanging="0"/>
        <w:jc w:val="left"/>
        <w:rPr/>
      </w:pPr>
      <w:r>
        <w:rPr/>
        <w:t>​</w:t>
      </w:r>
    </w:p>
    <w:tbl>
      <w:tblPr>
        <w:tblW w:w="6745" w:type="dxa"/>
        <w:jc w:val="left"/>
        <w:tblInd w:w="0" w:type="dxa"/>
        <w:tblLayout w:type="fixed"/>
        <w:tblCellMar>
          <w:top w:w="0" w:type="dxa"/>
          <w:left w:w="0" w:type="dxa"/>
          <w:bottom w:w="0" w:type="dxa"/>
          <w:right w:w="0" w:type="dxa"/>
        </w:tblCellMar>
      </w:tblPr>
      <w:tblGrid>
        <w:gridCol w:w="3901"/>
        <w:gridCol w:w="326"/>
        <w:gridCol w:w="211"/>
        <w:gridCol w:w="796"/>
        <w:gridCol w:w="326"/>
        <w:gridCol w:w="252"/>
        <w:gridCol w:w="933"/>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477135" cy="175260"/>
                      <wp:effectExtent l="0" t="0" r="0" b="0"/>
                      <wp:wrapNone/>
                      <wp:docPr id="145" name="Frame144"/>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5460" cy="175260"/>
                      <wp:effectExtent l="0" t="0" r="0" b="0"/>
                      <wp:wrapNone/>
                      <wp:docPr id="148" name="Frame1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0020" cy="175260"/>
                      <wp:effectExtent l="0" t="0" r="0" b="0"/>
                      <wp:wrapNone/>
                      <wp:docPr id="150" name="Frame14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92455" cy="175260"/>
                      <wp:effectExtent l="0" t="0" r="0" b="0"/>
                      <wp:wrapNone/>
                      <wp:docPr id="151" name="Frame15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Computers, software and peripheral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45,927</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8,960</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8,846</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6,286</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equipment and software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61,268</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58,135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(44,155)</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(42,082)</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equipment and software,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17,113</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16,053</w:t>
            </w:r>
          </w:p>
        </w:tc>
      </w:tr>
    </w:tbl>
    <w:p>
      <w:pPr>
        <w:pStyle w:val="TextBody"/>
        <w:pBdr/>
        <w:bidi w:val="0"/>
        <w:spacing w:before="0" w:after="200"/>
        <w:ind w:left="0" w:right="0" w:hanging="397"/>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the three months ended March 31, 2025 and 2024 was $2,136 and $2,108,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2025, the Company retired an insignificant amount of computers, software, and peripheral equipment that were fully depreciated. During the three months ended March 31, 2024, the Company retired computers, software, and peripheral equipment with a cost of $1,714 that were fully depreciated.</w:t>
      </w:r>
    </w:p>
    <w:p>
      <w:pPr>
        <w:pStyle w:val="TextBody"/>
        <w:bidi w:val="0"/>
        <w:spacing w:before="0" w:after="160"/>
        <w:ind w:left="0" w:right="0" w:hanging="0"/>
        <w:jc w:val="left"/>
        <w:rPr>
          <w:rFonts w:ascii="Times New Roman;Times;serif" w:hAnsi="Times New Roman;Times;serif"/>
          <w:b/>
          <w:sz w:val="20"/>
        </w:rPr>
      </w:pPr>
      <w:bookmarkStart w:id="1084" w:name="Tc_o8Ig7Gx0FEeFq_uPRDCwww_7_2"/>
      <w:bookmarkStart w:id="1085" w:name="Tc_WIsmfIlDcEij2TNNf0_oDA_7_0"/>
      <w:bookmarkStart w:id="1086" w:name="Tc_LW3uq98mbkeNmUyzCXwIHw_6_0"/>
      <w:bookmarkStart w:id="1087" w:name="Tc_una-P2L4zUWgK0clIPJ2aA_5_0"/>
      <w:bookmarkStart w:id="1088" w:name="Tc_s3q2CipmR0uAqk5a7l_EAw_4_0"/>
      <w:bookmarkStart w:id="1089" w:name="Tc_ipS5yqKRJE2Zgt9txJUnPQ_3_0"/>
      <w:bookmarkStart w:id="1090" w:name="Tc_NG8GdbwxL0Oud-ZzvHT38A_2_2"/>
      <w:bookmarkStart w:id="1091" w:name="Tc_k4cucrw5xk6d_EhEjpqG9Q_2_0"/>
      <w:bookmarkStart w:id="1092" w:name="Tc_GzKeByg4GkitVxeT88JPaA_1_0"/>
      <w:bookmarkStart w:id="1093" w:name="Tc_5Zjvg4FsM0eoFdrK7dEGqw_6_17"/>
      <w:bookmarkStart w:id="1094" w:name="Tc_IaCbm0gLDk6QlvhDu1PwAw_6_14"/>
      <w:bookmarkStart w:id="1095" w:name="Tc_WrxiFg0NgEqzrsl1gQy8uQ_6_11"/>
      <w:bookmarkStart w:id="1096" w:name="Tc_xrHlskUINUygamtIaQ_9qw_6_8"/>
      <w:bookmarkStart w:id="1097" w:name="Tc__Rh8fUeYDUSci8e9hJ9oGA_6_5"/>
      <w:bookmarkStart w:id="1098" w:name="Tc_EzRD28rd5kaqiZBwU0nNXQ_6_2"/>
      <w:bookmarkStart w:id="1099" w:name="Tc_AbPwHhWjV06sZIlFrXitZw_6_0"/>
      <w:bookmarkStart w:id="1100" w:name="Tc_rMREA0-cG0KwiA3fMb0ptg_5_0"/>
      <w:bookmarkStart w:id="1101" w:name="Tc_a9q5-yqwOkesQmSI62sVwQ_4_0"/>
      <w:bookmarkStart w:id="1102" w:name="Tc_VvI7hH9udk6VkKMMFSi2kg_3_17"/>
      <w:bookmarkStart w:id="1103" w:name="Tc_tMDPOdZzkkC1orzF1U-jTQ_3_14"/>
      <w:bookmarkStart w:id="1104" w:name="Tc_iW41KyudbUW5-w9qRV_S_A_3_11"/>
      <w:bookmarkStart w:id="1105" w:name="Tc_XnZz7hNGeUCRP-5XErrXgA_3_8"/>
      <w:bookmarkStart w:id="1106" w:name="Tc_Pno4QIidwU2T8gwC2k2t2Q_3_5"/>
      <w:bookmarkStart w:id="1107" w:name="Tc_K_F3loetYEOdG0Zb1rrs7A_3_2"/>
      <w:bookmarkStart w:id="1108" w:name="Tc_kYTG15Qc20CTMXNzIbZL5g_3_0"/>
      <w:bookmarkStart w:id="1109" w:name="Tc_KehVEZ_-wEKr5eh0fV4t8A_2_17"/>
      <w:bookmarkStart w:id="1110" w:name="Tc_QpvsRxQBlUWzlp405gOm9g_2_14"/>
      <w:bookmarkStart w:id="1111" w:name="Tc_JPvVbaNiu0SDEWl8OQWGvw_2_11"/>
      <w:bookmarkStart w:id="1112" w:name="Tc_BAAamMUb406ts2PMQpqUWg_2_8"/>
      <w:bookmarkStart w:id="1113" w:name="Tc_JIaim40bmU6DZXE3DqOp9w_2_5"/>
      <w:bookmarkStart w:id="1114" w:name="Tc_dOCFJpflrU6GTjb2jhYc_Q_2_2"/>
      <w:bookmarkStart w:id="1115" w:name="Tc_CWc7kfn3_0eEr4PoxX2e7Q_1_11"/>
      <w:bookmarkStart w:id="1116" w:name="Tc_kONQdg_MbkSmuARe4pBFNQ_1_2"/>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Pr>
          <w:rFonts w:ascii="Times New Roman;Times;serif" w:hAnsi="Times New Roman;Times;serif"/>
          <w:b/>
          <w:sz w:val="20"/>
        </w:rPr>
        <w:t>NOTE 10 –INTANGIBLE ASSETS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Composition of intangible assets, grouped by major classifications,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7"/>
        <w:gridCol w:w="326"/>
        <w:gridCol w:w="254"/>
        <w:gridCol w:w="941"/>
        <w:gridCol w:w="109"/>
        <w:gridCol w:w="262"/>
        <w:gridCol w:w="1099"/>
        <w:gridCol w:w="109"/>
        <w:gridCol w:w="244"/>
        <w:gridCol w:w="904"/>
        <w:gridCol w:w="326"/>
        <w:gridCol w:w="254"/>
        <w:gridCol w:w="941"/>
        <w:gridCol w:w="109"/>
        <w:gridCol w:w="262"/>
        <w:gridCol w:w="1099"/>
        <w:gridCol w:w="109"/>
        <w:gridCol w:w="237"/>
        <w:gridCol w:w="1003"/>
      </w:tblGrid>
      <w:tr>
        <w:trPr/>
        <w:tc>
          <w:tcPr>
            <w:tcW w:w="1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26795" cy="175260"/>
                      <wp:effectExtent l="0" t="0" r="0" b="0"/>
                      <wp:wrapNone/>
                      <wp:docPr id="152" name="Frame151"/>
                      <a:graphic xmlns:a="http://schemas.openxmlformats.org/drawingml/2006/main">
                        <a:graphicData uri="http://schemas.microsoft.com/office/word/2010/wordprocessingShape">
                          <wps:wsp>
                            <wps:cNvSpPr txBox="1"/>
                            <wps:spPr>
                              <a:xfrm>
                                <a:off x="0" y="0"/>
                                <a:ext cx="1026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1290" cy="175260"/>
                      <wp:effectExtent l="0" t="0" r="0" b="0"/>
                      <wp:wrapNone/>
                      <wp:docPr id="154" name="Frame15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97535" cy="175260"/>
                      <wp:effectExtent l="0" t="0" r="0" b="0"/>
                      <wp:wrapNone/>
                      <wp:docPr id="155" name="Frame154"/>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66370" cy="175260"/>
                      <wp:effectExtent l="0" t="0" r="0" b="0"/>
                      <wp:wrapNone/>
                      <wp:docPr id="157" name="Frame156"/>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7865" cy="175260"/>
                      <wp:effectExtent l="0" t="0" r="0" b="0"/>
                      <wp:wrapNone/>
                      <wp:docPr id="158" name="Frame15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4940" cy="175260"/>
                      <wp:effectExtent l="0" t="0" r="0" b="0"/>
                      <wp:wrapNone/>
                      <wp:docPr id="160" name="Frame15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4040" cy="175260"/>
                      <wp:effectExtent l="0" t="0" r="0" b="0"/>
                      <wp:wrapNone/>
                      <wp:docPr id="161" name="Frame16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1290" cy="175260"/>
                      <wp:effectExtent l="0" t="0" r="0" b="0"/>
                      <wp:wrapNone/>
                      <wp:docPr id="163" name="Frame16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7535" cy="175260"/>
                      <wp:effectExtent l="0" t="0" r="0" b="0"/>
                      <wp:wrapNone/>
                      <wp:docPr id="164" name="Frame16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6370" cy="175260"/>
                      <wp:effectExtent l="0" t="0" r="0" b="0"/>
                      <wp:wrapNone/>
                      <wp:docPr id="166" name="Frame16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7865" cy="175260"/>
                      <wp:effectExtent l="0" t="0" r="0" b="0"/>
                      <wp:wrapNone/>
                      <wp:docPr id="167" name="Frame166"/>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0495" cy="175260"/>
                      <wp:effectExtent l="0" t="0" r="0" b="0"/>
                      <wp:wrapNone/>
                      <wp:docPr id="169" name="Frame16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36905" cy="175260"/>
                      <wp:effectExtent l="0" t="0" r="0" b="0"/>
                      <wp:wrapNone/>
                      <wp:docPr id="170" name="Frame169"/>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9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401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Value</w:t>
            </w:r>
          </w:p>
        </w:tc>
        <w:tc>
          <w:tcPr>
            <w:tcW w:w="109" w:type="dxa"/>
            <w:tcBorders/>
            <w:vAlign w:val="center"/>
          </w:tcPr>
          <w:p>
            <w:pPr>
              <w:pStyle w:val="TableContents"/>
              <w:bidi w:val="0"/>
              <w:spacing w:before="0" w:after="0"/>
              <w:ind w:left="0" w:right="0" w:hanging="0"/>
              <w:jc w:val="left"/>
              <w:rPr/>
            </w:pPr>
            <w:r>
              <w:rPr/>
              <w:t>​</w:t>
            </w:r>
          </w:p>
        </w:tc>
        <w:tc>
          <w:tcPr>
            <w:tcW w:w="13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0"/>
              <w:ind w:left="0" w:right="0" w:hanging="0"/>
              <w:jc w:val="left"/>
              <w:rPr/>
            </w:pPr>
            <w:r>
              <w:rPr/>
              <w:t>​</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Value</w:t>
            </w:r>
          </w:p>
        </w:tc>
        <w:tc>
          <w:tcPr>
            <w:tcW w:w="326" w:type="dxa"/>
            <w:tcBorders/>
            <w:vAlign w:val="center"/>
          </w:tcPr>
          <w:p>
            <w:pPr>
              <w:pStyle w:val="TableContents"/>
              <w:bidi w:val="0"/>
              <w:spacing w:before="0" w:after="0"/>
              <w:ind w:left="0" w:right="0" w:hanging="0"/>
              <w:jc w:val="left"/>
              <w:rPr/>
            </w:pPr>
            <w:r>
              <w:rPr/>
              <w:t>​</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Value</w:t>
            </w:r>
          </w:p>
        </w:tc>
        <w:tc>
          <w:tcPr>
            <w:tcW w:w="109" w:type="dxa"/>
            <w:tcBorders/>
            <w:vAlign w:val="center"/>
          </w:tcPr>
          <w:p>
            <w:pPr>
              <w:pStyle w:val="TableContents"/>
              <w:bidi w:val="0"/>
              <w:spacing w:before="0" w:after="0"/>
              <w:ind w:left="0" w:right="0" w:hanging="0"/>
              <w:jc w:val="left"/>
              <w:rPr/>
            </w:pPr>
            <w:r>
              <w:rPr/>
              <w:t>​</w:t>
            </w:r>
          </w:p>
        </w:tc>
        <w:tc>
          <w:tcPr>
            <w:tcW w:w="13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0"/>
              <w:ind w:left="0" w:right="0" w:hanging="0"/>
              <w:jc w:val="left"/>
              <w:rPr/>
            </w:pPr>
            <w:r>
              <w:rPr/>
              <w:t>​</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Value</w:t>
            </w:r>
          </w:p>
        </w:tc>
      </w:tr>
      <w:tr>
        <w:trPr/>
        <w:tc>
          <w:tcPr>
            <w:tcW w:w="1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use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190,231</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(97,840)</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92,391</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175,698</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(86,882)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88,816</w:t>
            </w:r>
          </w:p>
        </w:tc>
      </w:tr>
      <w:tr>
        <w:trPr/>
        <w:tc>
          <w:tcPr>
            <w:tcW w:w="1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developed technology</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20,269</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(14,246)</w:t>
            </w:r>
          </w:p>
        </w:tc>
        <w:tc>
          <w:tcPr>
            <w:tcW w:w="109"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6,023</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20,269</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(13,111)</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w:t>
            </w:r>
          </w:p>
        </w:tc>
      </w:tr>
      <w:tr>
        <w:trPr/>
        <w:tc>
          <w:tcPr>
            <w:tcW w:w="1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109"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6,255</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6,683</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6,416</w:t>
            </w:r>
          </w:p>
        </w:tc>
      </w:tr>
      <w:tr>
        <w:trPr/>
        <w:tc>
          <w:tcPr>
            <w:tcW w:w="1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217,183</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(112,514)</w:t>
            </w:r>
          </w:p>
        </w:tc>
        <w:tc>
          <w:tcPr>
            <w:tcW w:w="109"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104,669</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202,650</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(100,260)</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102,390</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Amortization expense for the three months ended March 31, 2025 and 2024 was $12,254 and $7,300,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2025, the Company did not recognize any impairment related to internal use software assets. During the three months ended March 31, 2024, the Company recognized an insignificant amount of impairment related to intangible assets. The impairment is presented under Depreciation and amortization expenses in the condensed consolidated statements of comprehensive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Expected future intangible asset amortization as of March 31, 2025, excluding capitalized internal use software of $18,058 not yet placed in service as of that date, was as follows:</w:t>
      </w:r>
    </w:p>
    <w:p>
      <w:pPr>
        <w:pStyle w:val="TextBody"/>
        <w:bidi w:val="0"/>
        <w:spacing w:before="0" w:after="0"/>
        <w:ind w:left="0" w:right="0" w:hanging="0"/>
        <w:jc w:val="left"/>
        <w:rPr/>
      </w:pPr>
      <w:r>
        <w:rPr/>
        <w:t>​</w:t>
      </w:r>
    </w:p>
    <w:tbl>
      <w:tblPr>
        <w:tblW w:w="5932" w:type="dxa"/>
        <w:jc w:val="left"/>
        <w:tblInd w:w="0" w:type="dxa"/>
        <w:tblLayout w:type="fixed"/>
        <w:tblCellMar>
          <w:top w:w="0" w:type="dxa"/>
          <w:left w:w="0" w:type="dxa"/>
          <w:bottom w:w="0" w:type="dxa"/>
          <w:right w:w="0" w:type="dxa"/>
        </w:tblCellMar>
      </w:tblPr>
      <w:tblGrid>
        <w:gridCol w:w="4831"/>
        <w:gridCol w:w="109"/>
        <w:gridCol w:w="211"/>
        <w:gridCol w:w="781"/>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067685" cy="175260"/>
                      <wp:effectExtent l="0" t="0" r="0" b="0"/>
                      <wp:wrapNone/>
                      <wp:docPr id="171" name="Frame170"/>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5935" cy="175260"/>
                      <wp:effectExtent l="0" t="0" r="0" b="0"/>
                      <wp:wrapNone/>
                      <wp:docPr id="174" name="Frame1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(Excluding the three months ended March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33,602</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33,765</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14,004</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4,127</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86,611</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117" w:name="Tc_bw0ldV8ZfkWS1W2mDlMbLw_10_5"/>
      <w:bookmarkStart w:id="1118" w:name="Tc_pm67AqiN30WUSwLfll30kA_10_2"/>
      <w:bookmarkStart w:id="1119" w:name="Tc_Sgft1bTDD0yi2Fzf4cDqOA_10_0"/>
      <w:bookmarkStart w:id="1120" w:name="Tc_W5mOdKroQkWW1JqdvH7h0w_9_0"/>
      <w:bookmarkStart w:id="1121" w:name="Tc_aZnoH1wJykqWSv-LNHHGzA_8_0"/>
      <w:bookmarkStart w:id="1122" w:name="Tc_pZrYlTg61UyqC5XpJ-toRA_7_0"/>
      <w:bookmarkStart w:id="1123" w:name="Tc_CuVf-pL60Ey0Ruy7s-QLXA_6_0"/>
      <w:bookmarkStart w:id="1124" w:name="Tc_Fi1SIpOTeEqCgiRvIbGXyw_5_0"/>
      <w:bookmarkStart w:id="1125" w:name="Tc_aKoMYq8LRki8jF9QBaY_8g_4_0"/>
      <w:bookmarkStart w:id="1126" w:name="Tc_Z2HYJcGrtU6pU3-9dCNx5w_3_5"/>
      <w:bookmarkStart w:id="1127" w:name="Tc_H7wohmcpC0G1dXPAYBb09A_3_2"/>
      <w:bookmarkStart w:id="1128" w:name="Tc_opY5yd9cMkW2yxNRtoj7QA_3_0"/>
      <w:bookmarkStart w:id="1129" w:name="Tc_R9FmEYvaAE6H3VFNSANRPQ_2_5"/>
      <w:bookmarkStart w:id="1130" w:name="Tc_kQRj79hUKkCUoJlWYsRM0g_2_2"/>
      <w:bookmarkStart w:id="1131" w:name="Tc_meCefk8jKk6frQKMjedqqQ_1_5"/>
      <w:bookmarkStart w:id="1132" w:name="Tc_TxX_AsR3t0ifi2Z1EC-vWg_1_2"/>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r>
        <w:rPr>
          <w:rFonts w:ascii="Times New Roman;Times;serif" w:hAnsi="Times New Roman;Times;serif"/>
          <w:b/>
          <w:sz w:val="20"/>
        </w:rPr>
        <w:t>NOTE 11 - OTHER PAYABLES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Composition of Other payables, grouped by major classifications, is as follows:</w:t>
      </w:r>
    </w:p>
    <w:p>
      <w:pPr>
        <w:pStyle w:val="TextBody"/>
        <w:bidi w:val="0"/>
        <w:spacing w:before="0" w:after="0"/>
        <w:ind w:left="0" w:right="0" w:hanging="0"/>
        <w:jc w:val="left"/>
        <w:rPr/>
      </w:pPr>
      <w:r>
        <w:rPr/>
        <w:t>​</w:t>
      </w:r>
    </w:p>
    <w:tbl>
      <w:tblPr>
        <w:tblW w:w="7300" w:type="dxa"/>
        <w:jc w:val="left"/>
        <w:tblInd w:w="0" w:type="dxa"/>
        <w:tblLayout w:type="fixed"/>
        <w:tblCellMar>
          <w:top w:w="0" w:type="dxa"/>
          <w:left w:w="0" w:type="dxa"/>
          <w:bottom w:w="0" w:type="dxa"/>
          <w:right w:w="0" w:type="dxa"/>
        </w:tblCellMar>
      </w:tblPr>
      <w:tblGrid>
        <w:gridCol w:w="4471"/>
        <w:gridCol w:w="326"/>
        <w:gridCol w:w="211"/>
        <w:gridCol w:w="781"/>
        <w:gridCol w:w="326"/>
        <w:gridCol w:w="228"/>
        <w:gridCol w:w="957"/>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839085" cy="175260"/>
                      <wp:effectExtent l="0" t="0" r="0" b="0"/>
                      <wp:wrapNone/>
                      <wp:docPr id="175" name="Frame17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4780" cy="175260"/>
                      <wp:effectExtent l="0" t="0" r="0" b="0"/>
                      <wp:wrapNone/>
                      <wp:docPr id="180" name="Frame17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07695" cy="175260"/>
                      <wp:effectExtent l="0" t="0" r="0" b="0"/>
                      <wp:wrapNone/>
                      <wp:docPr id="181" name="Frame180"/>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58,590</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81,482</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18,057</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14,704</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7,208</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5,735</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Skuad acquisition earnout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payables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119,716</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129,621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 DEBT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October 28, 2021, Payoneer Early Payments Inc. (“PEPI”), a wholly-owned second tier subsidiary of the Company and its subsidiary (the “Borrower”) entered into a Receivables and Loan Security Agreement (the “Warehouse Facility”) with Viola Credit VI, L.P. (currently known as Viola Credit ALF II, L.P.), Viola Credit Alternative Lending FNX SPV, L.P. (the “Lenders”) and Viola Credit Alternative Lending Management 2018 L.P. (collectively, the “Parties”) for the purpose of external financing of Capital Advance activity. The Company notes that the Lenders are related parties through the Company’s Board of Directors’ chairman’s ownership interest in the Lenders. Refer to Note 22 for further information regarding related party considerations.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Warehouse Facility reached its scheduled revolving period termination date on October 28, 2024, and the Company has repaid all outstanding borrowings. The Warehouse Facility automatically terminated on April 28, 2025.</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No expenses related to the Warehouse Facility were incurred in the three months ended March 31, 2025. The Company recorded expenses, included in transaction costs, in the total amount of $438 for the three months ended March 31, 2024. As of March 31, 2025 and December 31, 2024, there was no outstanding associated balance on the condensed consolidated balance sheets. </w:t>
      </w:r>
    </w:p>
    <w:p>
      <w:pPr>
        <w:pStyle w:val="TextBody"/>
        <w:bidi w:val="0"/>
        <w:spacing w:before="0" w:after="200"/>
        <w:ind w:left="0" w:right="0" w:hanging="0"/>
        <w:jc w:val="left"/>
        <w:rPr>
          <w:rFonts w:ascii="Times New Roman;Times;serif" w:hAnsi="Times New Roman;Times;serif"/>
          <w:b/>
          <w:sz w:val="20"/>
        </w:rPr>
      </w:pPr>
      <w:bookmarkStart w:id="1133" w:name="Tc_a2d7MIZCf0auoXZ0qPlJGQ_8_5"/>
      <w:bookmarkStart w:id="1134" w:name="Tc_6AFyZ8d_P0Wpqt3yp-2z1Q_8_2"/>
      <w:bookmarkStart w:id="1135" w:name="Tc_XpsSO3r-UEO0lflz17F4_A_8_0"/>
      <w:bookmarkStart w:id="1136" w:name="Tc__A-Qbv0qQ0i4ZowwyzgnVw_7_3"/>
      <w:bookmarkStart w:id="1137" w:name="Tc_Pjd1J4cJUUW2-wJ4bUsApQ_7_0"/>
      <w:bookmarkStart w:id="1138" w:name="Tc_ru0S5c77tESZkBgu-G1f8Q_6_0"/>
      <w:bookmarkStart w:id="1139" w:name="Tc_xBy8xJjRFUCQZTTGOr4sMA_5_0"/>
      <w:bookmarkStart w:id="1140" w:name="Tc_3JJHIv7Nrk6THoSn0a-BiQ_4_0"/>
      <w:bookmarkStart w:id="1141" w:name="Tc_RikARMVbXEC8KgfmC9m6XQ_3_5"/>
      <w:bookmarkStart w:id="1142" w:name="Tc_B1PdMZ2dxkWGoXB-7QtvBg_3_2"/>
      <w:bookmarkStart w:id="1143" w:name="Tc_kqqvvu71wkGraxtEbXY59Q_3_0"/>
      <w:bookmarkStart w:id="1144" w:name="Tc_D1Nr27q4XECjuh8M7eMR-g_2_5"/>
      <w:bookmarkStart w:id="1145" w:name="Tc_hBur02mh3kCIGJFdU7ePgw_2_2"/>
      <w:bookmarkStart w:id="1146" w:name="Tc_UXkLGJenIku7GHe4jDCVeQ_1_5"/>
      <w:bookmarkStart w:id="1147" w:name="Tc_wuHTeoSsjEqzhOPkzcbi6g_1_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r>
        <w:rPr>
          <w:rFonts w:ascii="Times New Roman;Times;serif" w:hAnsi="Times New Roman;Times;serif"/>
          <w:b/>
          <w:sz w:val="20"/>
        </w:rPr>
        <w:t>NOTE 13 – OTHER LONG-TERM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Composition of other long-term liabilities, grouped by major classifications, is as follows:</w:t>
      </w:r>
    </w:p>
    <w:p>
      <w:pPr>
        <w:pStyle w:val="TextBody"/>
        <w:bidi w:val="0"/>
        <w:spacing w:before="0" w:after="0"/>
        <w:ind w:left="0" w:right="0" w:hanging="0"/>
        <w:jc w:val="left"/>
        <w:rPr/>
      </w:pPr>
      <w:r>
        <w:rPr/>
        <w:t>​</w:t>
      </w:r>
    </w:p>
    <w:tbl>
      <w:tblPr>
        <w:tblW w:w="7568" w:type="dxa"/>
        <w:jc w:val="left"/>
        <w:tblInd w:w="0" w:type="dxa"/>
        <w:tblLayout w:type="fixed"/>
        <w:tblCellMar>
          <w:top w:w="0" w:type="dxa"/>
          <w:left w:w="0" w:type="dxa"/>
          <w:bottom w:w="0" w:type="dxa"/>
          <w:right w:w="0" w:type="dxa"/>
        </w:tblCellMar>
      </w:tblPr>
      <w:tblGrid>
        <w:gridCol w:w="4831"/>
        <w:gridCol w:w="326"/>
        <w:gridCol w:w="214"/>
        <w:gridCol w:w="686"/>
        <w:gridCol w:w="326"/>
        <w:gridCol w:w="252"/>
        <w:gridCol w:w="933"/>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067685" cy="175260"/>
                      <wp:effectExtent l="0" t="0" r="0" b="0"/>
                      <wp:wrapNone/>
                      <wp:docPr id="182" name="Frame181"/>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5890" cy="175260"/>
                      <wp:effectExtent l="0" t="0" r="0" b="0"/>
                      <wp:wrapNone/>
                      <wp:docPr id="184" name="Frame18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5610" cy="175260"/>
                      <wp:effectExtent l="0" t="0" r="0" b="0"/>
                      <wp:wrapNone/>
                      <wp:docPr id="185" name="Frame18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0020" cy="175260"/>
                      <wp:effectExtent l="0" t="0" r="0" b="0"/>
                      <wp:wrapNone/>
                      <wp:docPr id="187" name="Frame18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92455" cy="175260"/>
                      <wp:effectExtent l="0" t="0" r="0" b="0"/>
                      <wp:wrapNone/>
                      <wp:docPr id="188" name="Frame18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8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Reserves for uncertain income tax positions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41,959</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39,633</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lease liabilities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14,680</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15,645</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tax provisions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8,298</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7,699</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pay liabilities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w:t>
            </w:r>
          </w:p>
        </w:tc>
      </w:tr>
      <w:tr>
        <w:trPr/>
        <w:tc>
          <w:tcPr>
            <w:tcW w:w="4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 of Skuad acquisition earnout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8,021</w:t>
            </w:r>
          </w:p>
        </w:tc>
      </w:tr>
      <w:tr>
        <w:trPr/>
        <w:tc>
          <w:tcPr>
            <w:tcW w:w="4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long-term liabilities</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66,965</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73,043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 WARRANTS AND SHAREHOLDERS’ EQUITY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 Repurchase Program and Treasury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2023, the Company’s Board of Directors authorized a stock repurchase program that provides for the repurchase of up to $80,000 of its common stock, including any applicable excise tax. On December 7, 2023, the Board of Directors authorized an amendment to the program to increase the authorized amount of repurchases to an aggregate amount not to exceed $250,000, including the amount that remained available as of December 7, 2023 to repurchase common stock under, but not any prior repurchases effected pursuant to, the previous authorization, and any applicable excise tax. The amended authorization expires on December 31, 2025.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148" w:name="Tc__5CnOdsLv0mR_rAk2QNqjQ_5_2"/>
      <w:bookmarkStart w:id="1149" w:name="Tc_HAWr_ciDv0mtiGTgqDPw-g_5_0"/>
      <w:bookmarkStart w:id="1150" w:name="Tc_bY4_O9klCkmsqkK3l50QlQ_4_0"/>
      <w:bookmarkStart w:id="1151" w:name="Tc_Othle4wS-EC3wNUaEpfJyQ_3_2"/>
      <w:bookmarkStart w:id="1152" w:name="Tc_OuHovJNV_Uq-m-ifPj6_HQ_3_0"/>
      <w:bookmarkStart w:id="1153" w:name="Tc_6iTT8Xkl20e1EhQIhuQa6g_2_2"/>
      <w:bookmarkStart w:id="1154" w:name="Tc_jW5X25cSx0as-TwYxr6qRQ_1_2"/>
      <w:bookmarkEnd w:id="1148"/>
      <w:bookmarkEnd w:id="1149"/>
      <w:bookmarkEnd w:id="1150"/>
      <w:bookmarkEnd w:id="1151"/>
      <w:bookmarkEnd w:id="1152"/>
      <w:bookmarkEnd w:id="1153"/>
      <w:bookmarkEnd w:id="1154"/>
      <w:r>
        <w:rPr>
          <w:rFonts w:ascii="Times New Roman;Times;serif" w:hAnsi="Times New Roman;Times;serif"/>
          <w:b/>
          <w:sz w:val="20"/>
        </w:rPr>
        <w:t>NOTE 14 – WARRANTS AND SHAREHOLDERS’ EQUITY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program is intended to offset the impact of dilution from the issuance of new shares as part of employee compensation programs.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share repurchases under this stock repurchase program may be made through open market transactions, privately negotiated transactions or other means including in accordance with Rule 10b-18 and/or Rule 10b5-1 of the Securities Exchange Act of 1934, as amended (the “Exchange Act”). The timing and total amount of repurchases is subject to business and market conditions and the Company’s discretion.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March 31, 2025, the Company repurchased 1,880,309 shares of its common stock for $16,978 at a weighted average cost of $9.04 per share. During the three months ended March 31, 2024, the Company repurchased 10,533,934 shares of its common stock for $51,160 at a weighted average cost of $4.84 per share. As of March 31, 2025, a total of $86,773 remained available for future repurchases of the Company’s common stock under the program.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had publicly traded warrants that were assumed upon the closing of the business combination with FTAC Olympus Acquisition Corp. in June 2021, and were exercisable for shares of the Company’s common stock. Warrants were only exercisable for a whole number of shares at an exercise price of $11.50 and would expire on June 25, 2026, or earlier, if redeemed. In September 2024, the Company completed a tender offer (the “Offer”) to repurchase all outstanding Warrants, at $0.78 per Warrant. Concurrently with the Offer, the Company solicited consents (the “Consent Solicitation”) from holders of its outstanding Warrants to amend the agreement governing the Warrants (the “Warrant Agreement”) to permit the Company to redeem all Warrants that remained outstanding after the completion of the Offer for $0.70 per Warrant in cash, without interest.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2024, 24,030,937 Warrants were validly tendered and were repurchased for $0.78 per Warrant, or $18,744 in total, with a $13,217 loss recognized upon repurchase, which was the result of the premium paid above the valuation of the Warrants as of the latest revaluation date of June 30, 2024. All remaining untendered and outstanding Warrants were redeemed for $0.70 per Warrant, or $789 in total, with a $530 loss recognized upon repurchase, which was the result of the premium paid above the valuation of the Warrants as of the latest revaluation date of June 30, 2024.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20"/>
        </w:rPr>
        <w:t xml:space="preserve">The Warrants were accounted for as liabilities in accordance with ASC 815-40, </w:t>
      </w:r>
      <w:r>
        <w:rPr>
          <w:rFonts w:ascii="Times New Roman;Times;serif" w:hAnsi="Times New Roman;Times;serif"/>
          <w:i/>
          <w:sz w:val="20"/>
        </w:rPr>
        <w:t>Derivatives and Hedging</w:t>
      </w:r>
      <w:r>
        <w:rPr>
          <w:rFonts w:ascii="Times New Roman;Times;serif" w:hAnsi="Times New Roman;Times;serif"/>
          <w:sz w:val="20"/>
        </w:rPr>
        <w:t>, and were presented within warrant liabilities on the condensed consolidated balance sheets. The warrant liabilities were measured at fair value at inception and on a recurring basis, with changes in fair value presented within change in fair value of warrant liabilities in the condensed consolidated statements of comprehensive income. The following table presents the changes in the fair value of warrant liabilities (Level 1) during the three months ended March 31, 2024:</w:t>
      </w:r>
    </w:p>
    <w:p>
      <w:pPr>
        <w:pStyle w:val="TextBody"/>
        <w:bidi w:val="0"/>
        <w:spacing w:before="0" w:after="0"/>
        <w:ind w:left="0" w:right="0" w:hanging="0"/>
        <w:jc w:val="left"/>
        <w:rPr/>
      </w:pPr>
      <w:r>
        <w:rPr/>
        <w:t>​</w:t>
      </w:r>
    </w:p>
    <w:tbl>
      <w:tblPr>
        <w:tblW w:w="4244" w:type="dxa"/>
        <w:jc w:val="left"/>
        <w:tblInd w:w="0" w:type="dxa"/>
        <w:tblLayout w:type="fixed"/>
        <w:tblCellMar>
          <w:top w:w="0" w:type="dxa"/>
          <w:left w:w="0" w:type="dxa"/>
          <w:bottom w:w="0" w:type="dxa"/>
          <w:right w:w="0" w:type="dxa"/>
        </w:tblCellMar>
      </w:tblPr>
      <w:tblGrid>
        <w:gridCol w:w="2971"/>
        <w:gridCol w:w="326"/>
        <w:gridCol w:w="211"/>
        <w:gridCol w:w="73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86585" cy="175260"/>
                      <wp:effectExtent l="0" t="0" r="0" b="0"/>
                      <wp:wrapNone/>
                      <wp:docPr id="189" name="Frame188"/>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67360" cy="175260"/>
                      <wp:effectExtent l="0" t="0" r="0" b="0"/>
                      <wp:wrapNone/>
                      <wp:docPr id="192" name="Frame19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March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155" w:name="Tc_Gy9Vmej2DUeS-S210i0q_g_5_11"/>
      <w:bookmarkStart w:id="1156" w:name="Tc_C6agYbf4OU2rkq6Ag0NuiA_5_8"/>
      <w:bookmarkStart w:id="1157" w:name="Tc_wASzhwCpK0aXRYS8BGDzjA_5_5"/>
      <w:bookmarkStart w:id="1158" w:name="Tc_TW0uZFHf2ES1UKhXKLlzxA_5_2"/>
      <w:bookmarkStart w:id="1159" w:name="Tc_NSRy6ryo80-uzFLxxXJDsw_5_0"/>
      <w:bookmarkStart w:id="1160" w:name="Tc_C9Cz2lRBwkOqvNuipo_GrQ_4_3"/>
      <w:bookmarkStart w:id="1161" w:name="Tc_NI5v60GgCUa0rgCCcvb9dQ_4_0"/>
      <w:bookmarkStart w:id="1162" w:name="Tc_aboj8LjD1EuTkh529kFEJg_3_11"/>
      <w:bookmarkStart w:id="1163" w:name="Tc_xil1oMA6GUWbs7TXb5-2ww_3_9"/>
      <w:bookmarkStart w:id="1164" w:name="Tc_foi5K91QgEKwPn4-w7Oz1Q_3_8"/>
      <w:bookmarkStart w:id="1165" w:name="Tc_RKWCwtGFeUiIf9rvnDXBFQ_3_6"/>
      <w:bookmarkStart w:id="1166" w:name="Tc_OW23Sejcmk6XahQpW_CrHA_3_5"/>
      <w:bookmarkStart w:id="1167" w:name="Tc_uh1fUcmkiU6S8DkD1lLhQg_3_2"/>
      <w:bookmarkStart w:id="1168" w:name="Tc_0iDnqLcXdUO0fApZtzEUCQ_3_0"/>
      <w:bookmarkStart w:id="1169" w:name="Tc_V-iPLXQZzUqVGlMnM6eeUQ_2_11"/>
      <w:bookmarkStart w:id="1170" w:name="Tc_z4kXN9hwAEGYsIH9qZi_PQ_2_8"/>
      <w:bookmarkStart w:id="1171" w:name="Tc_7OckWfYqOkC_3XGX4UdSuQ_2_5"/>
      <w:bookmarkStart w:id="1172" w:name="Tc_Ae4veSEjlEmYWwXehCyQTg_2_2"/>
      <w:bookmarkStart w:id="1173" w:name="Tc_icJHB_CmmU6aaf00Tjfrsg_1_2"/>
      <w:bookmarkStart w:id="1174" w:name="_c73597fe_2d60_4e05_ae97_529493ad7ab2"/>
      <w:bookmarkStart w:id="1175" w:name="Tc_A5feYQ8azEWxTCXYB5gw3w_7_11"/>
      <w:bookmarkStart w:id="1176" w:name="Tc_gOO5qDJG0kGHdvsAQnQZbw_7_8"/>
      <w:bookmarkStart w:id="1177" w:name="Tc_Y6416ilr_EKjxgaDiVoG8g_7_5"/>
      <w:bookmarkStart w:id="1178" w:name="Tc_WU6iybfq_Um6d8kqH0TuvQ_7_2"/>
      <w:bookmarkStart w:id="1179" w:name="Tc_2Tg6sndIl0KddgPCWv7cDQ_7_0"/>
      <w:bookmarkStart w:id="1180" w:name="Tc_kGIoV56gmkCUUPHAhimRWQ_6_0"/>
      <w:bookmarkStart w:id="1181" w:name="Tc_SOknBchIaEaW5WqgNooFGA_5_6"/>
      <w:bookmarkStart w:id="1182" w:name="Tc_cbySHojaGECNZ8GRzO1pWA_5_3"/>
      <w:bookmarkStart w:id="1183" w:name="Tc_FA55RvQYtk6ED6oRZg01eA_5_0"/>
      <w:bookmarkStart w:id="1184" w:name="Tc_Bi4yKRC3tE-qWuXaBekgaQ_4_0"/>
      <w:bookmarkStart w:id="1185" w:name="Tc_1Sl8Dnf38EW00Rj9Wvd8og_3_11"/>
      <w:bookmarkStart w:id="1186" w:name="Tc_rre6GmHBZkWmyz9cyKI6MQ_3_8"/>
      <w:bookmarkStart w:id="1187" w:name="Tc_dNyH2S3TP027UCgs03ua8g_3_5"/>
      <w:bookmarkStart w:id="1188" w:name="Tc_IqOsPc2TMUmEpvxjaGDVOw_3_2"/>
      <w:bookmarkStart w:id="1189" w:name="Tc_Z3vbkZusLEyKtk2EhDAJoQ_3_0"/>
      <w:bookmarkStart w:id="1190" w:name="Tc_3vICe7ZMekmAKhWRbYqJeA_2_11"/>
      <w:bookmarkStart w:id="1191" w:name="Tc_bYLrDgqmuUSSdlahjFtllw_2_8"/>
      <w:bookmarkStart w:id="1192" w:name="Tc_whEK2X8HM0y7dEXYiUiG7g_2_5"/>
      <w:bookmarkStart w:id="1193" w:name="Tc_PiPfLPp1PUaWkREIlVugDQ_2_2"/>
      <w:bookmarkStart w:id="1194" w:name="Tc_vXiGOK987Em_iqh3DHuiZw_1_2"/>
      <w:bookmarkStart w:id="1195" w:name="_8e08a4e4_799f_4d9a_a022_842e62554c61"/>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b/>
          <w:sz w:val="20"/>
        </w:rPr>
        <w:t>NOTE 14 – WARRANTS AND SHAREHOLDERS’ EQUITY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20"/>
        </w:rPr>
        <w:t>The changes in the balances of each component of accumulated other comprehensive income (loss), net of tax, for the three months ended March 31, 2025 and 2024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80"/>
        <w:gridCol w:w="109"/>
        <w:gridCol w:w="534"/>
        <w:gridCol w:w="1221"/>
        <w:gridCol w:w="109"/>
        <w:gridCol w:w="674"/>
        <w:gridCol w:w="1829"/>
        <w:gridCol w:w="109"/>
        <w:gridCol w:w="387"/>
        <w:gridCol w:w="1426"/>
        <w:gridCol w:w="109"/>
        <w:gridCol w:w="211"/>
        <w:gridCol w:w="807"/>
      </w:tblGrid>
      <w:tr>
        <w:trPr/>
        <w:tc>
          <w:tcPr>
            <w:tcW w:w="2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01800" cy="175260"/>
                      <wp:effectExtent l="0" t="0" r="0" b="0"/>
                      <wp:wrapNone/>
                      <wp:docPr id="193" name="Frame192"/>
                      <a:graphic xmlns:a="http://schemas.openxmlformats.org/drawingml/2006/main">
                        <a:graphicData uri="http://schemas.microsoft.com/office/word/2010/wordprocessingShape">
                          <wps:wsp>
                            <wps:cNvSpPr txBox="1"/>
                            <wps:spPr>
                              <a:xfrm>
                                <a:off x="0" y="0"/>
                                <a:ext cx="170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39090" cy="175260"/>
                      <wp:effectExtent l="0" t="0" r="0" b="0"/>
                      <wp:wrapNone/>
                      <wp:docPr id="195" name="Frame194"/>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75335" cy="175260"/>
                      <wp:effectExtent l="0" t="0" r="0" b="0"/>
                      <wp:wrapNone/>
                      <wp:docPr id="196" name="Frame195"/>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27990" cy="175260"/>
                      <wp:effectExtent l="0" t="0" r="0" b="0"/>
                      <wp:wrapNone/>
                      <wp:docPr id="198" name="Frame19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161415" cy="175260"/>
                      <wp:effectExtent l="0" t="0" r="0" b="0"/>
                      <wp:wrapNone/>
                      <wp:docPr id="199" name="Frame198"/>
                      <a:graphic xmlns:a="http://schemas.openxmlformats.org/drawingml/2006/main">
                        <a:graphicData uri="http://schemas.microsoft.com/office/word/2010/wordprocessingShape">
                          <wps:wsp>
                            <wps:cNvSpPr txBox="1"/>
                            <wps:spPr>
                              <a:xfrm>
                                <a:off x="0" y="0"/>
                                <a:ext cx="1161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5745" cy="175260"/>
                      <wp:effectExtent l="0" t="0" r="0" b="0"/>
                      <wp:wrapNone/>
                      <wp:docPr id="201" name="Frame200"/>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05510" cy="175260"/>
                      <wp:effectExtent l="0" t="0" r="0" b="0"/>
                      <wp:wrapNone/>
                      <wp:docPr id="202" name="Frame20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12445" cy="175260"/>
                      <wp:effectExtent l="0" t="0" r="0" b="0"/>
                      <wp:wrapNone/>
                      <wp:docPr id="205" name="Frame204"/>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41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26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 adjustments</w:t>
            </w:r>
          </w:p>
        </w:tc>
        <w:tc>
          <w:tcPr>
            <w:tcW w:w="109" w:type="dxa"/>
            <w:tcBorders/>
            <w:vAlign w:val="center"/>
          </w:tcPr>
          <w:p>
            <w:pPr>
              <w:pStyle w:val="TableContents"/>
              <w:bidi w:val="0"/>
              <w:spacing w:before="0" w:after="1"/>
              <w:ind w:left="0" w:right="0" w:hanging="0"/>
              <w:jc w:val="left"/>
              <w:rPr/>
            </w:pPr>
            <w:r>
              <w:rPr/>
              <w:t>​</w:t>
            </w:r>
          </w:p>
        </w:tc>
        <w:tc>
          <w:tcPr>
            <w:tcW w:w="25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 (losses) on available-for-sale debt securities</w:t>
            </w:r>
          </w:p>
        </w:tc>
        <w:tc>
          <w:tcPr>
            <w:tcW w:w="109" w:type="dxa"/>
            <w:tcBorders/>
            <w:vAlign w:val="center"/>
          </w:tcPr>
          <w:p>
            <w:pPr>
              <w:pStyle w:val="TableContents"/>
              <w:bidi w:val="0"/>
              <w:spacing w:before="0" w:after="1"/>
              <w:ind w:left="0" w:right="0" w:hanging="0"/>
              <w:jc w:val="left"/>
              <w:rPr/>
            </w:pPr>
            <w:r>
              <w:rPr/>
              <w:t>​</w:t>
            </w:r>
          </w:p>
        </w:tc>
        <w:tc>
          <w:tcPr>
            <w:tcW w:w="18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 gains (losses) on cash flow hedges</w:t>
            </w:r>
          </w:p>
        </w:tc>
        <w:tc>
          <w:tcPr>
            <w:tcW w:w="109" w:type="dxa"/>
            <w:tcBorders/>
            <w:vAlign w:val="center"/>
          </w:tcPr>
          <w:p>
            <w:pPr>
              <w:pStyle w:val="TableContents"/>
              <w:bidi w:val="0"/>
              <w:spacing w:before="0" w:after="1"/>
              <w:ind w:left="0" w:right="0" w:hanging="0"/>
              <w:jc w:val="left"/>
              <w:rPr/>
            </w:pPr>
            <w:r>
              <w:rPr/>
              <w:t>​</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5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shd w:fill="CCEEFF" w:val="clear"/>
            <w:vAlign w:val="center"/>
          </w:tcPr>
          <w:p>
            <w:pPr>
              <w:pStyle w:val="TableContents"/>
              <w:bidi w:val="0"/>
              <w:spacing w:before="0" w:after="1"/>
              <w:ind w:left="0" w:right="0" w:hanging="0"/>
              <w:jc w:val="left"/>
              <w:rPr/>
            </w:pPr>
            <w:r>
              <w:rPr/>
              <w:t>​</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(12,609)</w:t>
            </w:r>
          </w:p>
        </w:tc>
      </w:tr>
      <w:tr>
        <w:trPr/>
        <w:tc>
          <w:tcPr>
            <w:tcW w:w="2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vAlign w:val="center"/>
          </w:tcPr>
          <w:p>
            <w:pPr>
              <w:pStyle w:val="TableContents"/>
              <w:bidi w:val="0"/>
              <w:spacing w:before="0" w:after="1"/>
              <w:ind w:left="0" w:right="0" w:hanging="0"/>
              <w:jc w:val="left"/>
              <w:rPr/>
            </w:pPr>
            <w:r>
              <w:rPr/>
              <w:t>​</w:t>
            </w:r>
          </w:p>
        </w:tc>
        <w:tc>
          <w:tcPr>
            <w:tcW w:w="534"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left"/>
              <w:rPr/>
            </w:pPr>
            <w:r>
              <w:rPr/>
              <w:t>​</w:t>
            </w:r>
          </w:p>
        </w:tc>
        <w:tc>
          <w:tcPr>
            <w:tcW w:w="18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w:t>
            </w:r>
          </w:p>
        </w:tc>
        <w:tc>
          <w:tcPr>
            <w:tcW w:w="109"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9,223</w:t>
            </w:r>
          </w:p>
        </w:tc>
      </w:tr>
      <w:tr>
        <w:trPr/>
        <w:tc>
          <w:tcPr>
            <w:tcW w:w="2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of loss reclassified from AOCI</w:t>
            </w:r>
          </w:p>
        </w:tc>
        <w:tc>
          <w:tcPr>
            <w:tcW w:w="109" w:type="dxa"/>
            <w:tcBorders/>
            <w:shd w:fill="CCEEFF" w:val="clear"/>
            <w:vAlign w:val="center"/>
          </w:tcPr>
          <w:p>
            <w:pPr>
              <w:pStyle w:val="TableContents"/>
              <w:bidi w:val="0"/>
              <w:spacing w:before="0" w:after="1"/>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26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109" w:type="dxa"/>
            <w:tcBorders/>
            <w:vAlign w:val="center"/>
          </w:tcPr>
          <w:p>
            <w:pPr>
              <w:pStyle w:val="TableContents"/>
              <w:bidi w:val="0"/>
              <w:spacing w:before="0" w:after="1"/>
              <w:ind w:left="0" w:right="0" w:hanging="0"/>
              <w:jc w:val="left"/>
              <w:rPr/>
            </w:pPr>
            <w:r>
              <w:rPr/>
              <w:t>​</w:t>
            </w:r>
          </w:p>
        </w:tc>
        <w:tc>
          <w:tcPr>
            <w:tcW w:w="53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109" w:type="dxa"/>
            <w:tcBorders/>
            <w:vAlign w:val="center"/>
          </w:tcPr>
          <w:p>
            <w:pPr>
              <w:pStyle w:val="TableContents"/>
              <w:bidi w:val="0"/>
              <w:spacing w:before="0" w:after="1"/>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5,634</w:t>
            </w:r>
          </w:p>
        </w:tc>
        <w:tc>
          <w:tcPr>
            <w:tcW w:w="109" w:type="dxa"/>
            <w:tcBorders/>
            <w:vAlign w:val="center"/>
          </w:tcPr>
          <w:p>
            <w:pPr>
              <w:pStyle w:val="TableContents"/>
              <w:bidi w:val="0"/>
              <w:spacing w:before="0" w:after="1"/>
              <w:ind w:left="0" w:right="0" w:hanging="0"/>
              <w:jc w:val="left"/>
              <w:rPr/>
            </w:pPr>
            <w:r>
              <w:rPr/>
              <w:t>​</w:t>
            </w:r>
          </w:p>
        </w:tc>
        <w:tc>
          <w:tcPr>
            <w:tcW w:w="3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8,750</w:t>
            </w:r>
          </w:p>
        </w:tc>
      </w:tr>
      <w:tr>
        <w:trPr/>
        <w:tc>
          <w:tcPr>
            <w:tcW w:w="26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5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109" w:type="dxa"/>
            <w:tcBorders/>
            <w:shd w:fill="CCEEFF" w:val="clear"/>
            <w:vAlign w:val="center"/>
          </w:tcPr>
          <w:p>
            <w:pPr>
              <w:pStyle w:val="TableContents"/>
              <w:bidi w:val="0"/>
              <w:spacing w:before="0" w:after="1"/>
              <w:ind w:left="0" w:right="0" w:hanging="0"/>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8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5,312</w:t>
            </w:r>
          </w:p>
        </w:tc>
        <w:tc>
          <w:tcPr>
            <w:tcW w:w="109" w:type="dxa"/>
            <w:tcBorders/>
            <w:shd w:fill="CCEEFF" w:val="clear"/>
            <w:vAlign w:val="center"/>
          </w:tcPr>
          <w:p>
            <w:pPr>
              <w:pStyle w:val="TableContents"/>
              <w:bidi w:val="0"/>
              <w:spacing w:before="0" w:after="1"/>
              <w:ind w:left="0" w:right="0" w:hanging="0"/>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(3,859)</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21"/>
        <w:gridCol w:w="109"/>
        <w:gridCol w:w="647"/>
        <w:gridCol w:w="1480"/>
        <w:gridCol w:w="109"/>
        <w:gridCol w:w="1041"/>
        <w:gridCol w:w="1708"/>
        <w:gridCol w:w="109"/>
        <w:gridCol w:w="718"/>
        <w:gridCol w:w="1182"/>
        <w:gridCol w:w="109"/>
        <w:gridCol w:w="211"/>
        <w:gridCol w:w="56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10335" cy="175260"/>
                      <wp:effectExtent l="0" t="0" r="0" b="0"/>
                      <wp:wrapNone/>
                      <wp:docPr id="206" name="Frame20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10845" cy="175260"/>
                      <wp:effectExtent l="0" t="0" r="0" b="0"/>
                      <wp:wrapNone/>
                      <wp:docPr id="208" name="Frame207"/>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39800" cy="175260"/>
                      <wp:effectExtent l="0" t="0" r="0" b="0"/>
                      <wp:wrapNone/>
                      <wp:docPr id="209" name="Frame208"/>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61035" cy="175260"/>
                      <wp:effectExtent l="0" t="0" r="0" b="0"/>
                      <wp:wrapNone/>
                      <wp:docPr id="211" name="Frame210"/>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84580" cy="175260"/>
                      <wp:effectExtent l="0" t="0" r="0" b="0"/>
                      <wp:wrapNone/>
                      <wp:docPr id="212" name="Frame211"/>
                      <a:graphic xmlns:a="http://schemas.openxmlformats.org/drawingml/2006/main">
                        <a:graphicData uri="http://schemas.microsoft.com/office/word/2010/wordprocessingShape">
                          <wps:wsp>
                            <wps:cNvSpPr txBox="1"/>
                            <wps:spPr>
                              <a:xfrm>
                                <a:off x="0" y="0"/>
                                <a:ext cx="1084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55930" cy="175260"/>
                      <wp:effectExtent l="0" t="0" r="0" b="0"/>
                      <wp:wrapNone/>
                      <wp:docPr id="214" name="Frame213"/>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50570" cy="175260"/>
                      <wp:effectExtent l="0" t="0" r="0" b="0"/>
                      <wp:wrapNone/>
                      <wp:docPr id="215" name="Frame21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56235" cy="175260"/>
                      <wp:effectExtent l="0" t="0" r="0" b="0"/>
                      <wp:wrapNone/>
                      <wp:docPr id="218" name="Frame21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7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2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27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 on available-for-sale debt securities</w:t>
            </w:r>
          </w:p>
        </w:tc>
        <w:tc>
          <w:tcPr>
            <w:tcW w:w="109" w:type="dxa"/>
            <w:tcBorders/>
            <w:vAlign w:val="center"/>
          </w:tcPr>
          <w:p>
            <w:pPr>
              <w:pStyle w:val="TableContents"/>
              <w:bidi w:val="0"/>
              <w:spacing w:before="0" w:after="0"/>
              <w:ind w:left="0" w:right="0" w:hanging="0"/>
              <w:jc w:val="left"/>
              <w:rPr/>
            </w:pPr>
            <w:r>
              <w:rPr/>
              <w:t>​</w:t>
            </w:r>
          </w:p>
        </w:tc>
        <w:tc>
          <w:tcPr>
            <w:tcW w:w="1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 on cash flow hedges</w:t>
            </w:r>
          </w:p>
        </w:tc>
        <w:tc>
          <w:tcPr>
            <w:tcW w:w="109" w:type="dxa"/>
            <w:tcBorders/>
            <w:vAlign w:val="center"/>
          </w:tcPr>
          <w:p>
            <w:pPr>
              <w:pStyle w:val="TableContents"/>
              <w:bidi w:val="0"/>
              <w:spacing w:before="0" w:after="0"/>
              <w:ind w:left="0" w:right="0" w:hanging="0"/>
              <w:jc w:val="left"/>
              <w:rPr/>
            </w:pPr>
            <w:r>
              <w:rPr/>
              <w:t>​</w:t>
            </w:r>
          </w:p>
        </w:tc>
        <w:tc>
          <w:tcPr>
            <w:tcW w:w="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15 – COMMITMENTS AND CONTINGENCIES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business is subject to various laws and regulations in the United States and other countries from where the Company operates. Any regulatory action, tax or legal challenge against the Company for noncompliance with any regulatory or legal requirement could result in significant fines, penalties, or other enforcement actions, increased costs of doing business through adverse judgment or settlement, reputational harm, loss of banking or other operational relationships, the diversion of significant amounts of management time and operational resources, and could require changes in compliance requirements or impose limits on the Company’s ability to expand its product offerings, or otherwise harm or have a material adverse effect on the Company’s business. From time to time, the Company incurs insignificant fines and penalties in the ordinary course of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September 28, 2021, the National Banking and Securities Commission (CNBV) and the Bank of Mexico revoked the banking license of a banking entity utilized by the Company due to the banking entity not meeting applicable capital requirements. As a result, the Company is unable to withdraw funds from the banking entity. The Company has reserved $2,250 for potential losses related to those funds above the recovered amount. The Company applied for and recovered the maximum statutory reimbursement through the deposit insurance provided by Mexican Institute for the Protection of Banking Services (IPAB), totaling $140. The Company has filed a claim in liquidation for the remaining funds; however, the percentage of the deposit that will be recovered in liquidation is not known at this time.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the Company is involved in other disputes or regulatory inquiries that arise in the ordinary course of business. These may include suits by its customers alleging, among other things, acting unfairly and/or not in conformity regarding pricing, rules or agreements, improper disclosure of the Company’s prices, rules, or policies or that the Company’s practices, prices, rules, policies, or customer agreements violate applicable law.</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15 – COMMITMENTS AND CONTINGENCIES (continued):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these types of disputes and regulatory inquiries, the operations of the Company are also subject to regulatory and/or legal review and/or challenges that tend to reflect the increasing global regulatory focus to which the industry in which the Company operates is subject and, when taken as a whole with other regulatory and legislative action, such actions could result in the imposition of costly new compliance burdens on the Company and may lead to increased costs and decreased transaction volume and revenue. Any claims or regulatory actions against the Company, whether meritorious or not, could be time consuming, result in costly litigation, settlement payments, damage awards (including statutory damages for certain causes of action in certain jurisdictions), fines, penalties, injunctive relief, or increased costs of doing business through adverse judgment or settlement, require the Company to change its business practices, require significant amounts of management time, result in the diversion of operational resources, or otherwise harm the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96" w:name="Tc_MKixn1ACYkOs9VEKQWYKVw_10_5"/>
      <w:bookmarkStart w:id="1197" w:name="Tc_6X_QhldrAkGgsCPikPoOng_10_2"/>
      <w:bookmarkStart w:id="1198" w:name="Tc_YKsopD8VwkSAYm-YUHGLIQ_10_0"/>
      <w:bookmarkStart w:id="1199" w:name="Tc_W3bg-dGoQEW7m5t0Tacddg_9_0"/>
      <w:bookmarkStart w:id="1200" w:name="Tc_PSZAb4zmik6WdcPmlc4KVQ_8_0"/>
      <w:bookmarkStart w:id="1201" w:name="Tc_p3LWiWAwxUOMlrJZmqGVYQ_7_0"/>
      <w:bookmarkStart w:id="1202" w:name="Tc_cEnW9vfR9keSVbSCNmfmCg_6_0"/>
      <w:bookmarkStart w:id="1203" w:name="Tc_lAYQZDhaCEK4nuP89NSolQ_5_5"/>
      <w:bookmarkStart w:id="1204" w:name="Tc_A6l_mhyBuEe2CjLeXgkXJQ_5_2"/>
      <w:bookmarkStart w:id="1205" w:name="Tc_lNIvu4WvSEiQOyioewbBIg_5_0"/>
      <w:bookmarkStart w:id="1206" w:name="Tc_w7PvaofdME-c2U9eKAcq7g_4_0"/>
      <w:bookmarkStart w:id="1207" w:name="Tc_dkYCS878uky7iC_d80MX5w_3_5"/>
      <w:bookmarkStart w:id="1208" w:name="Tc_yBKWQqIGu0ukoypL0OnQRg_3_2"/>
      <w:bookmarkStart w:id="1209" w:name="Tc_exmfifEc4U2f2Uy4b3i2Nw_2_2"/>
      <w:bookmarkStart w:id="1210" w:name="Tc_s1b7rFoPek6KRXx4VSqxgA_1_2"/>
      <w:bookmarkStart w:id="1211" w:name="_d4fd29be_cd0f_4381_a8c4_036d68c19a59"/>
      <w:bookmarkStart w:id="1212" w:name="Tc_1FI5FNOACkmTYrLsdrps5Q_9_5"/>
      <w:bookmarkStart w:id="1213" w:name="Tc_8dAMy5KxeECJJ4eji7EeqQ_9_2"/>
      <w:bookmarkStart w:id="1214" w:name="Tc_V7Y2TnUOREOh--6r6j5ubA_9_0"/>
      <w:bookmarkStart w:id="1215" w:name="Tc_8FxCbYjJxkmasQLU5EdZ4Q_8_5"/>
      <w:bookmarkStart w:id="1216" w:name="Tc_604OHVil0UiwWknGoBtJ0g_8_2"/>
      <w:bookmarkStart w:id="1217" w:name="Tc_r7bj9ugDr06GlgDEkEmsyg_8_0"/>
      <w:bookmarkStart w:id="1218" w:name="Tc_sv8s6qIwfUCLaNJKMaip2g_7_0"/>
      <w:bookmarkStart w:id="1219" w:name="Tc_lG0E3Ru0_UCgj990GPd8xg_6_5"/>
      <w:bookmarkStart w:id="1220" w:name="Tc_si8y7EFjdE6BU6RSLVKFQQ_6_2"/>
      <w:bookmarkStart w:id="1221" w:name="Tc_V5501-OQCkCaUSl46CQSbA_6_0"/>
      <w:bookmarkStart w:id="1222" w:name="Tc_5-TS1us09EKVqs1-cPUfag_5_5"/>
      <w:bookmarkStart w:id="1223" w:name="Tc_51xGzWCn7kyc141IVCVdbw_5_2"/>
      <w:bookmarkStart w:id="1224" w:name="Tc_MY4QIthGxEqbS2Pw5RVvrw_5_0"/>
      <w:bookmarkStart w:id="1225" w:name="Tc_1zr1jOSBSkm5ODER8Ysasw_4_0"/>
      <w:bookmarkStart w:id="1226" w:name="Tc_nJmSva_tckSrNgHDLvE4qQ_3_5"/>
      <w:bookmarkStart w:id="1227" w:name="Tc_o7bKd0I1Q0GC5PaNCuQ4iw_3_2"/>
      <w:bookmarkStart w:id="1228" w:name="Tc_2X0UNpGfyUqmTDEBD7RpGQ_3_0"/>
      <w:bookmarkStart w:id="1229" w:name="Tc_Xhv4JDqtCkq49kw9ZteNEA_2_5"/>
      <w:bookmarkStart w:id="1230" w:name="Tc_G-LhLqW3-EmqELhov04_lA_2_2"/>
      <w:bookmarkStart w:id="1231" w:name="Tc_gGzd7sQjfU-Qd9eOBpon8A_1_2"/>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r>
        <w:rPr>
          <w:rFonts w:ascii="Times New Roman;Times;serif" w:hAnsi="Times New Roman;Times;serif"/>
          <w:b/>
          <w:sz w:val="20"/>
        </w:rPr>
        <w:t>NOTE 16 – REVENUE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revenue recognized from contracts with customers as well as revenue from other sources:</w:t>
      </w:r>
    </w:p>
    <w:p>
      <w:pPr>
        <w:pStyle w:val="TextBody"/>
        <w:bidi w:val="0"/>
        <w:spacing w:before="0" w:after="0"/>
        <w:ind w:left="0" w:right="0" w:firstLine="360"/>
        <w:jc w:val="left"/>
        <w:rPr/>
      </w:pPr>
      <w:r>
        <w:rPr/>
        <w:t>​</w:t>
      </w:r>
    </w:p>
    <w:tbl>
      <w:tblPr>
        <w:tblW w:w="6071" w:type="dxa"/>
        <w:jc w:val="left"/>
        <w:tblInd w:w="0" w:type="dxa"/>
        <w:tblLayout w:type="fixed"/>
        <w:tblCellMar>
          <w:top w:w="0" w:type="dxa"/>
          <w:left w:w="0" w:type="dxa"/>
          <w:bottom w:w="0" w:type="dxa"/>
          <w:right w:w="0" w:type="dxa"/>
        </w:tblCellMar>
      </w:tblPr>
      <w:tblGrid>
        <w:gridCol w:w="3301"/>
        <w:gridCol w:w="326"/>
        <w:gridCol w:w="213"/>
        <w:gridCol w:w="791"/>
        <w:gridCol w:w="330"/>
        <w:gridCol w:w="213"/>
        <w:gridCol w:w="897"/>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96135" cy="175260"/>
                      <wp:effectExtent l="0" t="0" r="0" b="0"/>
                      <wp:wrapNone/>
                      <wp:docPr id="219" name="Frame21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5255" cy="175260"/>
                      <wp:effectExtent l="0" t="0" r="0" b="0"/>
                      <wp:wrapNone/>
                      <wp:docPr id="221" name="Frame22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2285" cy="175260"/>
                      <wp:effectExtent l="0" t="0" r="0" b="0"/>
                      <wp:wrapNone/>
                      <wp:docPr id="222" name="Frame22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9550" cy="175260"/>
                      <wp:effectExtent l="0" t="0" r="0" b="0"/>
                      <wp:wrapNone/>
                      <wp:docPr id="223" name="Frame222"/>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5255" cy="175260"/>
                      <wp:effectExtent l="0" t="0" r="0" b="0"/>
                      <wp:wrapNone/>
                      <wp:docPr id="224" name="Frame223"/>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69595" cy="175260"/>
                      <wp:effectExtent l="0" t="0" r="0" b="0"/>
                      <wp:wrapNone/>
                      <wp:docPr id="225" name="Frame224"/>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0"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185,333</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159,796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186,263</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160,458</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customer balances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57,972</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65,268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advance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other sources</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60,354</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246,617</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228,183</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Based on the information provided to and reviewed by the Company’s Chief Operating Decision Maker (“CODM”), the Company believes that the nature, amount, timing, and uncertainty of its revenue and cash flows and how they are affected by economic factors are most appropriately depicted through its primary regional markets. The following table presents the Company’s revenue disaggregated by primary regional market, with revenues being attributed to the country (in the region) in which the billing address of the transacting customer is located, with the exception of global bank transfer revenues, where revenues are disaggregated based on the billing address of the transaction funds source.</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Note that in 2024, the Company updated the definition of its primary regional markets to align with the view used by Management. This update eliminates South Asia, Middle East and North Africa as a separate region and instead includes revenues from South Asia in the Asia-Pacific region and Middle East and North Africa in the Europe, Middle East, and Africa region. The update has been applied to all periods reflected in the table below.</w:t>
      </w:r>
    </w:p>
    <w:p>
      <w:pPr>
        <w:pStyle w:val="TextBody"/>
        <w:bidi w:val="0"/>
        <w:spacing w:before="0" w:after="0"/>
        <w:ind w:left="0" w:right="0" w:hanging="0"/>
        <w:jc w:val="left"/>
        <w:rPr/>
      </w:pPr>
      <w:r>
        <w:rPr/>
        <w:t>​</w:t>
      </w:r>
    </w:p>
    <w:tbl>
      <w:tblPr>
        <w:tblW w:w="5532" w:type="dxa"/>
        <w:jc w:val="left"/>
        <w:tblInd w:w="0" w:type="dxa"/>
        <w:tblLayout w:type="fixed"/>
        <w:tblCellMar>
          <w:top w:w="0" w:type="dxa"/>
          <w:left w:w="0" w:type="dxa"/>
          <w:bottom w:w="0" w:type="dxa"/>
          <w:right w:w="0" w:type="dxa"/>
        </w:tblCellMar>
      </w:tblPr>
      <w:tblGrid>
        <w:gridCol w:w="2791"/>
        <w:gridCol w:w="326"/>
        <w:gridCol w:w="211"/>
        <w:gridCol w:w="781"/>
        <w:gridCol w:w="326"/>
        <w:gridCol w:w="211"/>
        <w:gridCol w:w="88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772285" cy="175260"/>
                      <wp:effectExtent l="0" t="0" r="0" b="0"/>
                      <wp:wrapNone/>
                      <wp:docPr id="226" name="Frame225"/>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9" name="Frame2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62610" cy="175260"/>
                      <wp:effectExtent l="0" t="0" r="0" b="0"/>
                      <wp:wrapNone/>
                      <wp:docPr id="232" name="Frame2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Primary regional markets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2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Greater China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81,358</w:t>
            </w:r>
          </w:p>
        </w:tc>
      </w:tr>
      <w:tr>
        <w:trPr/>
        <w:tc>
          <w:tcPr>
            <w:tcW w:w="2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Europe, Middle East, and Africa</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59,163</w:t>
            </w:r>
          </w:p>
        </w:tc>
      </w:tr>
      <w:tr>
        <w:trPr/>
        <w:tc>
          <w:tcPr>
            <w:tcW w:w="2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Asia-Pacific</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41,582</w:t>
            </w:r>
          </w:p>
        </w:tc>
      </w:tr>
      <w:tr>
        <w:trPr/>
        <w:tc>
          <w:tcPr>
            <w:tcW w:w="27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North America</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23,010</w:t>
            </w:r>
          </w:p>
        </w:tc>
      </w:tr>
      <w:tr>
        <w:trPr/>
        <w:tc>
          <w:tcPr>
            <w:tcW w:w="27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Latin America</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228,183</w:t>
            </w:r>
          </w:p>
        </w:tc>
      </w:tr>
    </w:tbl>
    <w:tbl>
      <w:tblPr>
        <w:tblW w:w="6872" w:type="dxa"/>
        <w:jc w:val="left"/>
        <w:tblInd w:w="0" w:type="dxa"/>
        <w:tblLayout w:type="fixed"/>
        <w:tblCellMar>
          <w:top w:w="0" w:type="dxa"/>
          <w:left w:w="0" w:type="dxa"/>
          <w:bottom w:w="0" w:type="dxa"/>
          <w:right w:w="0" w:type="dxa"/>
        </w:tblCellMar>
      </w:tblPr>
      <w:tblGrid>
        <w:gridCol w:w="346"/>
        <w:gridCol w:w="6526"/>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5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Greater China is inclusive of mainland China, Hong Kong, Macao and Taiwan.</w:t>
            </w:r>
          </w:p>
        </w:tc>
      </w:tr>
    </w:tbl>
    <w:tbl>
      <w:tblPr>
        <w:tblW w:w="8072" w:type="dxa"/>
        <w:jc w:val="left"/>
        <w:tblInd w:w="0" w:type="dxa"/>
        <w:tblLayout w:type="fixed"/>
        <w:tblCellMar>
          <w:top w:w="0" w:type="dxa"/>
          <w:left w:w="0" w:type="dxa"/>
          <w:bottom w:w="0" w:type="dxa"/>
          <w:right w:w="0" w:type="dxa"/>
        </w:tblCellMar>
      </w:tblPr>
      <w:tblGrid>
        <w:gridCol w:w="346"/>
        <w:gridCol w:w="7726"/>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77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single country included in any of these regions generated more than 10% of total revenue.</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988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United States is the Company’s country of domicile. Of North America revenues, the U.S. represents $22,624 and $21,925 during the three months ended March 31, 2025 and 2024,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232" w:name="Tc_c7yL-yIVe0-zx88Vsdu6TQ_10_5"/>
      <w:bookmarkStart w:id="1233" w:name="Tc_BYOJrVnb80yCYIgFQ7dc4Q_10_2"/>
      <w:bookmarkStart w:id="1234" w:name="Tc_C5h1UkQowUaVnn1YgxJBkQ_10_0"/>
      <w:bookmarkStart w:id="1235" w:name="Tc_iZLPfrJhwUmilXxsz3CL-Q_9_0"/>
      <w:bookmarkStart w:id="1236" w:name="Tc_8_XFTRcwQUuqT1StTY0S4A_8_0"/>
      <w:bookmarkStart w:id="1237" w:name="Tc_d5WfOwrpyEOLIWruxV83XQ_7_0"/>
      <w:bookmarkStart w:id="1238" w:name="Tc_MxdDsueLPkCFNxYhn4aAmw_6_0"/>
      <w:bookmarkStart w:id="1239" w:name="Tc_4c0xEtaAHEWIfCn6LNZWtQ_5_0"/>
      <w:bookmarkStart w:id="1240" w:name="Tc_kEv2Oobn0UOqwK04w7MeXg_4_5"/>
      <w:bookmarkStart w:id="1241" w:name="Tc_QLpRks2s0kmW1bovrX5Phw_4_2"/>
      <w:bookmarkStart w:id="1242" w:name="Tc_KV7szDT1CUaET8SL8hOcMA_4_0"/>
      <w:bookmarkStart w:id="1243" w:name="Tc_CDiAzKiBk0WeIRu5Q1B73w_3_5"/>
      <w:bookmarkStart w:id="1244" w:name="Tc_J9LQYhDx9kiNbRv0hHY30g_3_2"/>
      <w:bookmarkStart w:id="1245" w:name="Tc_WZEc6YktA0KXyU8ee88jBQ_2_2"/>
      <w:bookmarkStart w:id="1246" w:name="Tc_kGPBW_MfWUuIlon6BcM9iA_1_2"/>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Pr>
          <w:rFonts w:ascii="Times New Roman;Times;serif" w:hAnsi="Times New Roman;Times;serif"/>
          <w:b/>
          <w:sz w:val="20"/>
        </w:rPr>
        <w:t>NOTE 17 - TRANSACTION COSTS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Composition of transaction costs, grouped by major classifications, is as follows:</w:t>
      </w:r>
    </w:p>
    <w:p>
      <w:pPr>
        <w:pStyle w:val="TextBody"/>
        <w:bidi w:val="0"/>
        <w:spacing w:before="0" w:after="0"/>
        <w:ind w:left="0" w:right="0" w:hanging="0"/>
        <w:jc w:val="left"/>
        <w:rPr/>
      </w:pPr>
      <w:r>
        <w:rPr/>
        <w:t>​</w:t>
      </w:r>
    </w:p>
    <w:tbl>
      <w:tblPr>
        <w:tblW w:w="5847" w:type="dxa"/>
        <w:jc w:val="left"/>
        <w:tblInd w:w="0" w:type="dxa"/>
        <w:tblLayout w:type="fixed"/>
        <w:tblCellMar>
          <w:top w:w="0" w:type="dxa"/>
          <w:left w:w="0" w:type="dxa"/>
          <w:bottom w:w="0" w:type="dxa"/>
          <w:right w:w="0" w:type="dxa"/>
        </w:tblCellMar>
      </w:tblPr>
      <w:tblGrid>
        <w:gridCol w:w="3316"/>
        <w:gridCol w:w="326"/>
        <w:gridCol w:w="211"/>
        <w:gridCol w:w="676"/>
        <w:gridCol w:w="326"/>
        <w:gridCol w:w="211"/>
        <w:gridCol w:w="78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05660" cy="175260"/>
                      <wp:effectExtent l="0" t="0" r="0" b="0"/>
                      <wp:wrapNone/>
                      <wp:docPr id="233" name="Frame23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9260" cy="175260"/>
                      <wp:effectExtent l="0" t="0" r="0" b="0"/>
                      <wp:wrapNone/>
                      <wp:docPr id="236"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95935" cy="175260"/>
                      <wp:effectExtent l="0" t="0" r="0" b="0"/>
                      <wp:wrapNone/>
                      <wp:docPr id="239" name="Frame2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and processor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24,379</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Network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Chargebacks and operational losses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advance costs, net of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33,966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47" w:name="Tc_wxxGRhIZHU-ADzx1sgiMIQ_14_5"/>
      <w:bookmarkStart w:id="1248" w:name="Tc_O_QwmFKd3EWzDcZ-9esaWQ_14_2"/>
      <w:bookmarkStart w:id="1249" w:name="Tc_r8JuRfFk1k6M5FH6-RsUJg_14_0"/>
      <w:bookmarkStart w:id="1250" w:name="Tc_T40o5cdgR0iXwk74vxCdpQ_13_0"/>
      <w:bookmarkStart w:id="1251" w:name="Tc_vjQUzYyXc0mfGWFxNXZ1dA_12_0"/>
      <w:bookmarkStart w:id="1252" w:name="Tc_rM1NB52DK0iOafL-mLuQqQ_11_0"/>
      <w:bookmarkStart w:id="1253" w:name="Tc_2ThVHrwm_U-SPoLqVRmPaA_10_0"/>
      <w:bookmarkStart w:id="1254" w:name="Tc_5mm0KX_t-k2mGn6z1K4-lg_9_0"/>
      <w:bookmarkStart w:id="1255" w:name="Tc_aqBixDC0xUGiqyfMcRTRQA_8_0"/>
      <w:bookmarkStart w:id="1256" w:name="Tc__qZGe5nv3UGCkTpNWYqRbA_7_0"/>
      <w:bookmarkStart w:id="1257" w:name="Tc_5sXTxZqjpUWaFVqGNbNcxw_6_0"/>
      <w:bookmarkStart w:id="1258" w:name="Tc_wF2RLU2I9Uy3JUiYRwJf6Q_5_0"/>
      <w:bookmarkStart w:id="1259" w:name="Tc_XDw1Wcgobk2BnIA12KYQig_4_0"/>
      <w:bookmarkStart w:id="1260" w:name="Tc_gsLuq_qHz061b6AXoSiCng_3_5"/>
      <w:bookmarkStart w:id="1261" w:name="Tc_F-gLurIPIkG8AUXeS1ihiw_3_2"/>
      <w:bookmarkStart w:id="1262" w:name="Tc_VG4WDsc8o0eeMwa-oTXb3w_3_0"/>
      <w:bookmarkStart w:id="1263" w:name="Tc_LXTyghkT7Umd1LnNWeKCDg_2_5"/>
      <w:bookmarkStart w:id="1264" w:name="Tc_jFMQ8dLhKEatiYxbhIx_EA_2_2"/>
      <w:bookmarkStart w:id="1265" w:name="Tc_Wq4-L1EEq0GkIp8R7Ze9oA_1_2"/>
      <w:bookmarkStart w:id="1266" w:name="_3f83195b_a0c5_4605_a65c_2fffd2d5ac1a"/>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r>
        <w:rPr>
          <w:rFonts w:ascii="Times New Roman;Times;serif" w:hAnsi="Times New Roman;Times;serif"/>
          <w:b/>
          <w:sz w:val="20"/>
        </w:rPr>
        <w:t>NOTE 18 – SEGMENT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determines operating segments based on how its CODM manages the business, makes operating decisions around the allocation of resources, and evaluates operating performance. The Company’s CODM are its Chief Executive Officer and Chief Financial Officer, who review its operating results on a consolidated basis. The Company operates in one segment and has one reportable segment.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CODM use consolidated net income, as shown on the condensed consolidated statements of comprehensive income, as the measure of segment profitability. The CODM use net income to evaluate the Company’s ongoing operations and for internal planning and forecasting purposes. This analysis is used in making strategic investment decisions. The Company’s measure of segment assets is reported on the condensed consolidated balance sheets as total assets.</w:t>
      </w:r>
    </w:p>
    <w:p>
      <w:pPr>
        <w:pStyle w:val="TextBody"/>
        <w:bidi w:val="0"/>
        <w:spacing w:before="0" w:after="0"/>
        <w:ind w:left="0" w:right="0" w:hanging="0"/>
        <w:jc w:val="left"/>
        <w:rPr/>
      </w:pPr>
      <w:r>
        <w:rPr/>
        <w:t>​</w:t>
      </w:r>
    </w:p>
    <w:tbl>
      <w:tblPr>
        <w:tblW w:w="5261" w:type="dxa"/>
        <w:jc w:val="left"/>
        <w:tblInd w:w="0" w:type="dxa"/>
        <w:tblLayout w:type="fixed"/>
        <w:tblCellMar>
          <w:top w:w="0" w:type="dxa"/>
          <w:left w:w="0" w:type="dxa"/>
          <w:bottom w:w="0" w:type="dxa"/>
          <w:right w:w="0" w:type="dxa"/>
        </w:tblCellMar>
      </w:tblPr>
      <w:tblGrid>
        <w:gridCol w:w="2446"/>
        <w:gridCol w:w="326"/>
        <w:gridCol w:w="220"/>
        <w:gridCol w:w="831"/>
        <w:gridCol w:w="340"/>
        <w:gridCol w:w="220"/>
        <w:gridCol w:w="878"/>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553210" cy="175260"/>
                      <wp:effectExtent l="0" t="0" r="0" b="0"/>
                      <wp:wrapNone/>
                      <wp:docPr id="240" name="Frame239"/>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9700" cy="175260"/>
                      <wp:effectExtent l="0" t="0" r="0" b="0"/>
                      <wp:wrapNone/>
                      <wp:docPr id="242" name="Frame24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27685" cy="175260"/>
                      <wp:effectExtent l="0" t="0" r="0" b="0"/>
                      <wp:wrapNone/>
                      <wp:docPr id="243" name="Frame24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5900" cy="175260"/>
                      <wp:effectExtent l="0" t="0" r="0" b="0"/>
                      <wp:wrapNone/>
                      <wp:docPr id="244" name="Frame24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9700" cy="175260"/>
                      <wp:effectExtent l="0" t="0" r="0" b="0"/>
                      <wp:wrapNone/>
                      <wp:docPr id="245" name="Frame24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57530" cy="175260"/>
                      <wp:effectExtent l="0" t="0" r="0" b="0"/>
                      <wp:wrapNone/>
                      <wp:docPr id="246" name="Frame245"/>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March 31, </w:t>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0" w:type="dxa"/>
            <w:tcBorders/>
            <w:vAlign w:val="center"/>
          </w:tcPr>
          <w:p>
            <w:pPr>
              <w:pStyle w:val="TableContents"/>
              <w:bidi w:val="0"/>
              <w:spacing w:before="0" w:after="1"/>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246,617</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228,183</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Transaction cost</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(39,349)</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(33,966)</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Labor &amp; related</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(73,064)</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(68,291)</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(18,755)</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(15,077)</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3rd party contractors</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(8,769)</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(9,470)</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 &amp; communication</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(17,985)</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(16,215)</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(14,390)</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(9,408)</w:t>
            </w:r>
          </w:p>
        </w:tc>
      </w:tr>
      <w:tr>
        <w:trPr/>
        <w:tc>
          <w:tcPr>
            <w:tcW w:w="24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(44,986)</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(37,380)</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(7,192)</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(13,910)</w:t>
            </w:r>
          </w:p>
        </w:tc>
      </w:tr>
      <w:tr>
        <w:trPr/>
        <w:tc>
          <w:tcPr>
            <w:tcW w:w="24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segment items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20,577</w:t>
            </w:r>
          </w:p>
        </w:tc>
        <w:tc>
          <w:tcPr>
            <w:tcW w:w="340"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28,974</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Refer to Note 17 for disaggregation of transaction cost into significant segment expense categories. </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 xml:space="preserve"> Other operating expenses include miscellaneous, individually insignificant operating expenses. The Company’s CODM review these items in aggregate. </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 xml:space="preserve"> Other segment items included in net income include finance income and expense, which primarily includes corporate interest income and foreign currency remeasurement gains and losses. For the period ended March 31, 2024, this also includes public warrant revaluation.</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267" w:name="Tc_TcEuT7Jhk0W_yQUxPPw_WQ_7_0"/>
      <w:bookmarkStart w:id="1268" w:name="Tc_wrR5eHvIfUKAEsB4khiLyQ_6_0"/>
      <w:bookmarkStart w:id="1269" w:name="Tc_Nrj28UjyRkOKPw3EisxgAw_5_0"/>
      <w:bookmarkStart w:id="1270" w:name="Tc_Bcw_lUoxn0ywE98UzxbbNw_4_0"/>
      <w:bookmarkStart w:id="1271" w:name="Tc_jjUfHBxhA0a2h36Xxii4BQ_3_0"/>
      <w:bookmarkStart w:id="1272" w:name="Tc_gtegOpC_9Eaun6nbsYDgBg_2_0"/>
      <w:bookmarkStart w:id="1273" w:name="Tc_XtO9alaBNEKv0a9I-l0Iww_1_2"/>
      <w:bookmarkStart w:id="1274" w:name="Tc_6qqfFOxe-UWtzIrEKc3RCg_7_0"/>
      <w:bookmarkStart w:id="1275" w:name="Tc_OnryJnQwXE2s9v-MGzZSWA_6_0"/>
      <w:bookmarkStart w:id="1276" w:name="Tc_uJ3DnUyiGkC4DGcQuSRWMQ_5_0"/>
      <w:bookmarkStart w:id="1277" w:name="Tc_KEPgIZHHFE6elpXs5YkGWw_4_0"/>
      <w:bookmarkStart w:id="1278" w:name="Tc_ZqUfMYms3k2_UAT0yXP5DQ_3_2"/>
      <w:bookmarkStart w:id="1279" w:name="Tc_Flh6QGfgLk-EinnBguyMzA_3_0"/>
      <w:bookmarkStart w:id="1280" w:name="Tc_uqyW8D9JUUKK_M-7Q1_vjw_2_0"/>
      <w:bookmarkStart w:id="1281" w:name="Tc_2yr0qO0rtUaQ-vrcFkoA3Q_1_2"/>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r>
        <w:rPr>
          <w:rFonts w:ascii="Times New Roman;Times;serif" w:hAnsi="Times New Roman;Times;serif"/>
          <w:b/>
          <w:sz w:val="20"/>
        </w:rPr>
        <w:t>NOTE 19 – STOCK-BASED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options to purchase shares of common stock activity under the Company’s equity incentive plans for the three months ended March 31, 2025:</w:t>
      </w:r>
    </w:p>
    <w:p>
      <w:pPr>
        <w:pStyle w:val="TextBody"/>
        <w:bidi w:val="0"/>
        <w:spacing w:before="0" w:after="0"/>
        <w:ind w:left="0" w:right="0" w:hanging="0"/>
        <w:jc w:val="left"/>
        <w:rPr/>
      </w:pPr>
      <w:r>
        <w:rPr/>
        <w:t>​</w:t>
      </w:r>
    </w:p>
    <w:tbl>
      <w:tblPr>
        <w:tblW w:w="4168" w:type="dxa"/>
        <w:jc w:val="left"/>
        <w:tblInd w:w="0" w:type="dxa"/>
        <w:tblLayout w:type="fixed"/>
        <w:tblCellMar>
          <w:top w:w="0" w:type="dxa"/>
          <w:left w:w="0" w:type="dxa"/>
          <w:bottom w:w="0" w:type="dxa"/>
          <w:right w:w="0" w:type="dxa"/>
        </w:tblCellMar>
      </w:tblPr>
      <w:tblGrid>
        <w:gridCol w:w="2941"/>
        <w:gridCol w:w="146"/>
        <w:gridCol w:w="108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867535" cy="175260"/>
                      <wp:effectExtent l="0" t="0" r="0" b="0"/>
                      <wp:wrapNone/>
                      <wp:docPr id="247" name="Frame24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2710" cy="175260"/>
                      <wp:effectExtent l="0" t="0" r="0" b="0"/>
                      <wp:wrapNone/>
                      <wp:docPr id="248" name="Frame2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86435" cy="175260"/>
                      <wp:effectExtent l="0" t="0" r="0" b="0"/>
                      <wp:wrapNone/>
                      <wp:docPr id="249" name="Frame24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1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11,560,158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(737,128)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(55,233)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14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10,767,797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March 31, 2025</w:t>
            </w:r>
          </w:p>
        </w:tc>
        <w:tc>
          <w:tcPr>
            <w:tcW w:w="146" w:type="dxa"/>
            <w:tcBorders/>
            <w:vAlign w:val="center"/>
          </w:tcPr>
          <w:p>
            <w:pPr>
              <w:pStyle w:val="TableContents"/>
              <w:bidi w:val="0"/>
              <w:spacing w:before="0" w:after="1"/>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9,804,993</w:t>
            </w:r>
          </w:p>
        </w:tc>
      </w:tr>
    </w:tbl>
    <w:p>
      <w:pPr>
        <w:pStyle w:val="TextBody"/>
        <w:bidi w:val="0"/>
        <w:spacing w:before="0" w:after="20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weighted average exercise price of the options outstanding as of March 31, 2025 was $2.89 per share.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Restricted and Performance Stock Units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restricted stock unit (“RSU”) and performance stock unit (“PSU”) activity under the Company’s equity incentive plans as of March 31, 2025:</w:t>
      </w:r>
    </w:p>
    <w:p>
      <w:pPr>
        <w:pStyle w:val="TextBody"/>
        <w:bidi w:val="0"/>
        <w:spacing w:before="0" w:after="0"/>
        <w:ind w:left="0" w:right="0" w:hanging="0"/>
        <w:jc w:val="left"/>
        <w:rPr/>
      </w:pPr>
      <w:r>
        <w:rPr/>
        <w:t>​</w:t>
      </w:r>
    </w:p>
    <w:tbl>
      <w:tblPr>
        <w:tblW w:w="4633" w:type="dxa"/>
        <w:jc w:val="left"/>
        <w:tblInd w:w="0" w:type="dxa"/>
        <w:tblLayout w:type="fixed"/>
        <w:tblCellMar>
          <w:top w:w="0" w:type="dxa"/>
          <w:left w:w="0" w:type="dxa"/>
          <w:bottom w:w="0" w:type="dxa"/>
          <w:right w:w="0" w:type="dxa"/>
        </w:tblCellMar>
      </w:tblPr>
      <w:tblGrid>
        <w:gridCol w:w="3166"/>
        <w:gridCol w:w="326"/>
        <w:gridCol w:w="114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10410" cy="175260"/>
                      <wp:effectExtent l="0" t="0" r="0" b="0"/>
                      <wp:wrapNone/>
                      <wp:docPr id="250" name="Frame249"/>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24535" cy="175260"/>
                      <wp:effectExtent l="0" t="0" r="0" b="0"/>
                      <wp:wrapNone/>
                      <wp:docPr id="252" name="Frame25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29,163,413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7,093,591</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(3,558,636)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Withhold to cover shares repurchased</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(722,437)</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(568,784)</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March 31, 2025</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31,407,147</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In the three months ended March 31, 2025, the Company granted 6,198,488 RSUs under the Company's Omnibus Stock Incentive Plan, which are subject to time-vesting and continued service conditions.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same period, the Company granted 895,103 PSUs under the same Plan, which are subject to time-vesting, continued service conditions and achievement of specified performance goals.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withholds common stock shares associated with net share settlements to cover tax withholding obligations upon the vesting of restricted stock units under its employee equity incentive plans in the United States. During the three months ended March 31, 2025 and 2024, the Company withheld 722,437 and 765,430 shares for $7,494 and $3,880, respectively. RSU vesting is shown net of this withholding on the condensed consolidated statements of shareholders’ equity and cash flows.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collects cash from proceeds from certain international employees’ sales of common stock. The amount is held in a Company bank account until it is remitted to the employees. Due to the restrictions on the use of the funds in the bank account, we have classified the amount as short-term restricted cash, and a corresponding liability is included in Other payables in the condensed consolidated balance sheets. As of March 31, 2025, $2,189 of such funds were held.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bookmarkStart w:id="1282" w:name="Tc_eIvrMvHxcEGo1FlRo-QL5A_8_5"/>
      <w:bookmarkStart w:id="1283" w:name="Tc__cfhhuwV5k6hGDiND_O6qA_8_2"/>
      <w:bookmarkStart w:id="1284" w:name="Tc_95aJgCKHtkuBd4XIB2RK2w_8_0"/>
      <w:bookmarkStart w:id="1285" w:name="Tc_PCpZkL3dYEeuepQezXMUyQ_7_0"/>
      <w:bookmarkStart w:id="1286" w:name="Tc_ZMfnVwXcak6LURzYItBvwg_6_0"/>
      <w:bookmarkStart w:id="1287" w:name="Tc_DNxQfC1IYUuBOPIGBjCK4g_5_0"/>
      <w:bookmarkStart w:id="1288" w:name="Tc_q3SJT-3Nj0a_7DKuZtELOw_4_5"/>
      <w:bookmarkStart w:id="1289" w:name="Tc_8ng0Ah5oLEymcIq-d7G65w_4_2"/>
      <w:bookmarkStart w:id="1290" w:name="Tc_q8LtkrWvYUKYapYwnExbHw_4_0"/>
      <w:bookmarkStart w:id="1291" w:name="Tc_Yj52YPDf0k2mOCeuPr1B7A_3_5"/>
      <w:bookmarkStart w:id="1292" w:name="Tc_u9HHcCrOaUuRPquQd8GMAw_3_2"/>
      <w:bookmarkStart w:id="1293" w:name="Tc_D0T64OxuKU60KEb_43AuUg_2_2"/>
      <w:bookmarkStart w:id="1294" w:name="Tc_RpvMrB-r1EaFFLJH6koNrw_1_2"/>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b/>
          <w:sz w:val="20"/>
        </w:rPr>
        <w:t>NOTE 19 – STOCK-BASED COMPENSATION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Employee Stock Purchase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March 31, 2025, approximately 3,498,257 shares were reserved for future issuance under the Company’s Employee Stock Purchase Plan (“ESPP”). The fair value attributable to the ESPP was $1,585 as of November 30, 2024, the beginning of the current offering period, and was measured using the Monte Carlo model. The current offering period is expected to close May 30, 2025.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expense associated with the ESPP recognized during the three months ended March 31, 2025 was $793.</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Impact on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impact on the Company’s results of operations of recording stock-based compensation expense under the Company’s equity incentive plans, including the ESPP, were as follows:</w:t>
      </w:r>
    </w:p>
    <w:p>
      <w:pPr>
        <w:pStyle w:val="TextBody"/>
        <w:bidi w:val="0"/>
        <w:spacing w:before="0" w:after="0"/>
        <w:ind w:left="0" w:right="0" w:hanging="0"/>
        <w:jc w:val="left"/>
        <w:rPr/>
      </w:pPr>
      <w:r>
        <w:rPr/>
        <w:t>​</w:t>
      </w:r>
    </w:p>
    <w:tbl>
      <w:tblPr>
        <w:tblW w:w="5622" w:type="dxa"/>
        <w:jc w:val="left"/>
        <w:tblInd w:w="0" w:type="dxa"/>
        <w:tblLayout w:type="fixed"/>
        <w:tblCellMar>
          <w:top w:w="0" w:type="dxa"/>
          <w:left w:w="0" w:type="dxa"/>
          <w:bottom w:w="0" w:type="dxa"/>
          <w:right w:w="0" w:type="dxa"/>
        </w:tblCellMar>
      </w:tblPr>
      <w:tblGrid>
        <w:gridCol w:w="3091"/>
        <w:gridCol w:w="326"/>
        <w:gridCol w:w="211"/>
        <w:gridCol w:w="676"/>
        <w:gridCol w:w="326"/>
        <w:gridCol w:w="211"/>
        <w:gridCol w:w="78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62785" cy="175260"/>
                      <wp:effectExtent l="0" t="0" r="0" b="0"/>
                      <wp:wrapNone/>
                      <wp:docPr id="253" name="Frame25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29260" cy="175260"/>
                      <wp:effectExtent l="0" t="0" r="0" b="0"/>
                      <wp:wrapNone/>
                      <wp:docPr id="256" name="Frame2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95935" cy="175260"/>
                      <wp:effectExtent l="0" t="0" r="0" b="0"/>
                      <wp:wrapNone/>
                      <wp:docPr id="259" name="Frame2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3,141</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4,938</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15,077</w:t>
            </w:r>
          </w:p>
        </w:tc>
      </w:tr>
    </w:tbl>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Note that $615 and $919 in stock-based compensation awards were capitalized as part of internal-use software during the three months ended March 31, 2025 and 2024, respectively.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20 - INCOME TAXES</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 xml:space="preserve">The Company’s provision for income taxes in the interim periods is determined using an estimated annual effective tax rate, adjusted for discrete items arising in the period.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val="false"/>
          <w:sz w:val="20"/>
        </w:rPr>
        <w:t>The Company had an effective tax rate of 26%</w:t>
      </w:r>
      <w:r>
        <w:rPr>
          <w:rFonts w:ascii="Times New Roman;Times;serif" w:hAnsi="Times New Roman;Times;serif"/>
          <w:b/>
          <w:sz w:val="20"/>
        </w:rPr>
        <w:t xml:space="preserve"> </w:t>
      </w:r>
      <w:r>
        <w:rPr>
          <w:rFonts w:ascii="Times New Roman;Times;serif" w:hAnsi="Times New Roman;Times;serif"/>
          <w:b w:val="false"/>
          <w:sz w:val="20"/>
        </w:rPr>
        <w:t>and 32%</w:t>
      </w:r>
      <w:r>
        <w:rPr>
          <w:rFonts w:ascii="Times New Roman;Times;serif" w:hAnsi="Times New Roman;Times;serif"/>
          <w:b/>
          <w:sz w:val="20"/>
        </w:rPr>
        <w:t xml:space="preserve"> </w:t>
      </w:r>
      <w:r>
        <w:rPr>
          <w:rFonts w:ascii="Times New Roman;Times;serif" w:hAnsi="Times New Roman;Times;serif"/>
          <w:b w:val="false"/>
          <w:sz w:val="20"/>
        </w:rPr>
        <w:t>for the three months ended March 31, 2025 and 2024, respectively. For the three months ended March 31, 2025, the difference between the Company’s effective tax rate and the U.S. federal statutory rate of 21%</w:t>
      </w:r>
      <w:r>
        <w:rPr>
          <w:rFonts w:ascii="Times New Roman;Times;serif" w:hAnsi="Times New Roman;Times;serif"/>
          <w:b/>
          <w:sz w:val="20"/>
        </w:rPr>
        <w:t xml:space="preserve"> </w:t>
      </w:r>
      <w:r>
        <w:rPr>
          <w:rFonts w:ascii="Times New Roman;Times;serif" w:hAnsi="Times New Roman;Times;serif"/>
          <w:b w:val="false"/>
          <w:sz w:val="20"/>
        </w:rPr>
        <w:t>was primarily the result of an increase in the provision for uncertain tax positions and nondeductible stock compensation, partially offset by a benefit under U.S. tax law for income earned from foreign customers. For the three months ended March 31, 2024, the difference between the Company’s effective tax rate and the U.S. federal statutory rate of 21%</w:t>
      </w:r>
      <w:r>
        <w:rPr>
          <w:rFonts w:ascii="Times New Roman;Times;serif" w:hAnsi="Times New Roman;Times;serif"/>
          <w:b/>
          <w:sz w:val="20"/>
        </w:rPr>
        <w:t xml:space="preserve"> </w:t>
      </w:r>
      <w:r>
        <w:rPr>
          <w:rFonts w:ascii="Times New Roman;Times;serif" w:hAnsi="Times New Roman;Times;serif"/>
          <w:b w:val="false"/>
          <w:sz w:val="20"/>
        </w:rPr>
        <w:t>was the result of foreign income taxed at different rates, as well as an increase in the provision for uncertain tax positions.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maintains a valuation allowance in jurisdictions where it is more likely than not that all or a portion of a deferred tax asset may not be realized. In determining whether a valuation allowance is warranted, the Company evaluates factors such as prior earnings history, expected future earnings and the reversal of existing taxable temporary differences. As of March 31, 2025, the Company maintains a full valuation allowance on its deferred tax assets in Singapore, associated with the Skuad acquisition, and in Germany as management believes it is more likely than not that the deferred tax assets will not be recognized in these jurisdictions. The Company maintains its previous conclusion that a valuation allowance on deferred tax assets in the United States and Israel is not necessary.</w:t>
      </w:r>
    </w:p>
    <w:p>
      <w:pPr>
        <w:pStyle w:val="TextBody"/>
        <w:bidi w:val="0"/>
        <w:spacing w:before="0" w:after="200"/>
        <w:ind w:left="0" w:right="0" w:firstLine="36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295" w:name="Tc_EZYR_0p6NE2NK4tO7Xvd-w_15_5"/>
      <w:bookmarkStart w:id="1296" w:name="Tc_jmE1QoOFfE-MTW6q5SSZow_15_2"/>
      <w:bookmarkStart w:id="1297" w:name="Tc_5xPTPFGneESZznENC8tw4g_15_0"/>
      <w:bookmarkStart w:id="1298" w:name="Tc_neEAsDwnt0mBtuJ-UjNOKQ_14_5"/>
      <w:bookmarkStart w:id="1299" w:name="Tc_dl5FGJlrf0Kqbt3FeyJ0xw_14_2"/>
      <w:bookmarkStart w:id="1300" w:name="Tc_nFspqL4pykuCbvID7YSnxA_14_0"/>
      <w:bookmarkStart w:id="1301" w:name="Tc_GslpNgzFQkaaSoBMZpgRUg_13_0"/>
      <w:bookmarkStart w:id="1302" w:name="Tc_hNqNiNrNsECPmHhuvYN6DQ_12_0"/>
      <w:bookmarkStart w:id="1303" w:name="Tc_gAUITbBzsUWVGB7HGi16Bg_11_0"/>
      <w:bookmarkStart w:id="1304" w:name="Tc_MzbA4uNiSUmozDmUzOUyIA_10_0"/>
      <w:bookmarkStart w:id="1305" w:name="Tc_M98TH5Zr-kaxKzAqBlpl5Q_9_0"/>
      <w:bookmarkStart w:id="1306" w:name="Tc_5EdZG_OZlkKJvKRJkRgu6w_8_0"/>
      <w:bookmarkStart w:id="1307" w:name="Tc_pUwmQbFf00eS_RQODG8idQ_7_0"/>
      <w:bookmarkStart w:id="1308" w:name="Tc_kGKcGIwUB0Cm-IWEbS_xrA_6_5"/>
      <w:bookmarkStart w:id="1309" w:name="Tc_Cr9hhndAUU-ocjRHPg1exg_6_2"/>
      <w:bookmarkStart w:id="1310" w:name="Tc_XiSQ-fHja0SoDoxD5GZmUA_6_0"/>
      <w:bookmarkStart w:id="1311" w:name="Tc_2nC164SgwEeVNfzBh5yb1w_5_0"/>
      <w:bookmarkStart w:id="1312" w:name="Tc_ARlDKZ8z1UW9DpzVUX0TCw_4_2"/>
      <w:bookmarkStart w:id="1313" w:name="Tc_1G2TQB5IyU6sEDDQqPSE2A_3_5"/>
      <w:bookmarkStart w:id="1314" w:name="Tc_xAgMvk3m1kisd0aDzjKKWQ_3_2"/>
      <w:bookmarkStart w:id="1315" w:name="Tc_b4kwfOxWjU6Cxk6JSgQYAA_2_2"/>
      <w:bookmarkStart w:id="1316" w:name="Tc_xTbARPorE0ywUcDhqDFYHg_1_2"/>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r>
        <w:rPr>
          <w:rFonts w:ascii="Times New Roman;Times;serif" w:hAnsi="Times New Roman;Times;serif"/>
          <w:b/>
          <w:sz w:val="20"/>
        </w:rPr>
        <w:t>NOTE 21 – NET EARNINGS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basic net earnings per share is calculated by dividing net income attributable to common shareholders by the weighted-average number of shares of common stock outstanding for the period, without consideration of potentially dilutive securities. The diluted net earnings per share is calculated by giving effect to all potentially dilutive securities outstanding for the period using the treasury share method or the if-converted method based on the nature of such securities. Diluted net earnings per share is the same as basic net earnings per share in periods when the effects of potentially dilutive shares of common shares are anti-dilutive.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Basic and diluted net earnings per share attributable to common stockholders were calculated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80"/>
        <w:gridCol w:w="326"/>
        <w:gridCol w:w="232"/>
        <w:gridCol w:w="1260"/>
        <w:gridCol w:w="359"/>
        <w:gridCol w:w="232"/>
        <w:gridCol w:w="1316"/>
      </w:tblGrid>
      <w:tr>
        <w:trPr/>
        <w:tc>
          <w:tcPr>
            <w:tcW w:w="6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114800" cy="175260"/>
                      <wp:effectExtent l="0" t="0" r="0" b="0"/>
                      <wp:wrapNone/>
                      <wp:docPr id="260" name="Frame259"/>
                      <a:graphic xmlns:a="http://schemas.openxmlformats.org/drawingml/2006/main">
                        <a:graphicData uri="http://schemas.microsoft.com/office/word/2010/wordprocessingShape">
                          <wps:wsp>
                            <wps:cNvSpPr txBox="1"/>
                            <wps:spPr>
                              <a:xfrm>
                                <a:off x="0" y="0"/>
                                <a:ext cx="411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47320" cy="175260"/>
                      <wp:effectExtent l="0" t="0" r="0" b="0"/>
                      <wp:wrapNone/>
                      <wp:docPr id="262" name="Frame26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800100" cy="175260"/>
                      <wp:effectExtent l="0" t="0" r="0" b="0"/>
                      <wp:wrapNone/>
                      <wp:docPr id="263" name="Frame262"/>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7965" cy="175260"/>
                      <wp:effectExtent l="0" t="0" r="0" b="0"/>
                      <wp:wrapNone/>
                      <wp:docPr id="264" name="Frame263"/>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47320" cy="175260"/>
                      <wp:effectExtent l="0" t="0" r="0" b="0"/>
                      <wp:wrapNone/>
                      <wp:docPr id="265" name="Frame26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35660" cy="175260"/>
                      <wp:effectExtent l="0" t="0" r="0" b="0"/>
                      <wp:wrapNone/>
                      <wp:docPr id="266" name="Frame265"/>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9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9" w:type="dxa"/>
            <w:tcBorders/>
            <w:vAlign w:val="center"/>
          </w:tcPr>
          <w:p>
            <w:pPr>
              <w:pStyle w:val="TableContents"/>
              <w:bidi w:val="0"/>
              <w:spacing w:before="0" w:after="1"/>
              <w:ind w:left="0" w:right="0" w:hanging="0"/>
              <w:jc w:val="left"/>
              <w:rPr/>
            </w:pPr>
            <w:r>
              <w:rPr/>
              <w:t>    </w:t>
            </w:r>
          </w:p>
        </w:tc>
        <w:tc>
          <w:tcPr>
            <w:tcW w:w="15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4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except share and per share data)</w:t>
            </w:r>
          </w:p>
        </w:tc>
      </w:tr>
      <w:tr>
        <w:trPr/>
        <w:tc>
          <w:tcPr>
            <w:tcW w:w="6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pPr>
            <w:r>
              <w:rPr/>
              <w:t>  </w:t>
            </w:r>
          </w:p>
        </w:tc>
        <w:tc>
          <w:tcPr>
            <w:tcW w:w="359"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pPr>
            <w:r>
              <w:rPr/>
              <w:t>  </w:t>
            </w:r>
          </w:p>
        </w:tc>
      </w:tr>
      <w:tr>
        <w:trPr/>
        <w:tc>
          <w:tcPr>
            <w:tcW w:w="6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20,577</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28,974</w:t>
            </w:r>
          </w:p>
        </w:tc>
      </w:tr>
      <w:tr>
        <w:trPr/>
        <w:tc>
          <w:tcPr>
            <w:tcW w:w="6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260" w:type="dxa"/>
            <w:tcBorders/>
            <w:shd w:fill="CCEEFF" w:val="clear"/>
            <w:vAlign w:val="center"/>
          </w:tcPr>
          <w:p>
            <w:pPr>
              <w:pStyle w:val="TableContents"/>
              <w:bidi w:val="0"/>
              <w:spacing w:before="0" w:after="1"/>
              <w:ind w:left="0" w:right="0" w:hanging="0"/>
              <w:jc w:val="right"/>
              <w:rPr/>
            </w:pPr>
            <w:r>
              <w:rPr/>
              <w:t>  </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 </w:t>
            </w:r>
          </w:p>
        </w:tc>
        <w:tc>
          <w:tcPr>
            <w:tcW w:w="1316" w:type="dxa"/>
            <w:tcBorders/>
            <w:shd w:fill="CCEEFF" w:val="clear"/>
            <w:vAlign w:val="center"/>
          </w:tcPr>
          <w:p>
            <w:pPr>
              <w:pStyle w:val="TableContents"/>
              <w:bidi w:val="0"/>
              <w:spacing w:before="0" w:after="1"/>
              <w:ind w:left="0" w:right="0" w:hanging="0"/>
              <w:jc w:val="right"/>
              <w:rPr/>
            </w:pPr>
            <w:r>
              <w:rPr/>
              <w:t>  </w:t>
            </w:r>
          </w:p>
        </w:tc>
      </w:tr>
      <w:tr>
        <w:trPr/>
        <w:tc>
          <w:tcPr>
            <w:tcW w:w="6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 </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pPr>
            <w:r>
              <w:rPr/>
              <w:t>​</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362,979,571</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359,306,195</w:t>
            </w:r>
          </w:p>
        </w:tc>
      </w:tr>
      <w:tr>
        <w:trPr/>
        <w:tc>
          <w:tcPr>
            <w:tcW w:w="6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pPr>
            <w:r>
              <w:rPr/>
              <w:t>​</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pPr>
            <w:r>
              <w:rPr/>
              <w:t>​</w:t>
            </w:r>
          </w:p>
        </w:tc>
      </w:tr>
      <w:tr>
        <w:trPr/>
        <w:tc>
          <w:tcPr>
            <w:tcW w:w="6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impact of RSUs, ESPP and options to purchase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2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18,362,026</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18,725,608</w:t>
            </w:r>
          </w:p>
        </w:tc>
      </w:tr>
      <w:tr>
        <w:trPr/>
        <w:tc>
          <w:tcPr>
            <w:tcW w:w="6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impact of private warrants</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2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873,532</w:t>
            </w:r>
          </w:p>
        </w:tc>
        <w:tc>
          <w:tcPr>
            <w:tcW w:w="359"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683,498</w:t>
            </w:r>
          </w:p>
        </w:tc>
      </w:tr>
      <w:tr>
        <w:trPr/>
        <w:tc>
          <w:tcPr>
            <w:tcW w:w="6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382,215,129</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378,715,301</w:t>
            </w:r>
          </w:p>
        </w:tc>
      </w:tr>
      <w:tr>
        <w:trPr/>
        <w:tc>
          <w:tcPr>
            <w:tcW w:w="6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 Basic earnings per share</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59"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r>
      <w:tr>
        <w:trPr/>
        <w:tc>
          <w:tcPr>
            <w:tcW w:w="6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59"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0.08</w:t>
            </w:r>
          </w:p>
        </w:tc>
      </w:tr>
    </w:tbl>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Note that for the three month period ended March 31, 2025, 7,983,302 RSUs and 2,770,000 RSUs with market conditions, 895,103 PSUs, 15,000,000 Earn-Out Shares (as that term is defined in the Agreement and Plan of Reorganization dated February 3, 2021 (as amended) with FTAC Olympus Acquisition Corp.) have been excluded from the computation of diluted net earnings per share as their effect was antidilutive, conditions were not met or they were not in the money as of the end of the reporting period. For the three month period ended March 31, 2024, 25,158,086 public Warrants, 4,230,000 RSUs with market conditions, 15,000,000 Earn-Out Shares, 2,132,413 options to purchase common stock, and 24,151,724 RSUs have been excluded from the computation of diluted net earnings per share for the same reason.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22 – RELATED PARTY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Warehouse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indicated in Note 12, the Company entered into a Warehouse Facility with Lenders where a member of the Board of Directors has an interest. The Company has evaluated the relationship and determined that the Warehouse Facility represents a related party transaction that has been entered into in the ordinary course of business. As such, the Warehouse Facility was reviewed and approved as a related party transaction in accordance with the related party transaction approval process implemented by the Company. The Company analyzed the terms of the Warehouse Facility and concluded that the terms represent a transaction conducted at arm’s length. The Warehouse Facility reached its scheduled revolving period termination date on October 28, 2024, and the Company has repaid all outstanding borrowings. The Warehouse Facility automatically terminated on April 28, 2025.</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23 –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April 9, 2025, Payoneer acquired 100% of the outstanding equity of Payeco Finance Information Holding Corporation, the parent company of EasyLink Payment Co., Ltd., a licensed China based payment service provider. The acquisition strengthens Payoneer’s global regulatory infrastructure and positions the Company to better serve China-based customers and to provide enhanced and localized products and services.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aggregate purchase price is approximately $75,000 and is subject to customary post-closing adjustments and escrows.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the acquiree’s insignificant size relative to the Company, Payoneer does not expect to provide supplemental pro forma financial information for the current and prior reporting periods.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200"/>
        <w:ind w:left="0" w:right="0" w:hanging="0"/>
        <w:jc w:val="left"/>
        <w:rPr>
          <w:rFonts w:ascii="Times New Roman;Times;serif" w:hAnsi="Times New Roman;Times;serif"/>
          <w:b/>
          <w:sz w:val="20"/>
        </w:rPr>
      </w:pPr>
      <w:bookmarkStart w:id="1317" w:name="ITEM2MANAGEMENTSDISCUSSIONANDANALYSISOFF"/>
      <w:bookmarkStart w:id="1318" w:name="_85562c13_2e87_4dc7_8858_bf21f3c7a2e9"/>
      <w:bookmarkEnd w:id="1317"/>
      <w:bookmarkEnd w:id="1318"/>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Throughout this section, unless otherwise noted, “we”, “us”, “our”, “Payoneer”, and the “Company” refer to Payoneer Global Inc.</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condensed consolidated financial statements and related notes included elsewhere in this Quarterly Report on Form 10-Q. Some of the information contained in this discussion and analysis, including information with respect to our future performance, liquidity and capital resources, and general and administrative functions, includes forward-looking statements that involve risks and uncertainties. You should review the sections titled “Cautionary Note on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Payoneer is a financial technology company purpose-built to enable the world’s small and medium-sized businesses (“SMB(s)”) to grow and operate their businesses around the world by reliably and securely connecting them to the global digital economy. Payoneer’s financial stack makes it easier for millions of SMBs and entrepreneurs, particularly in emerging markets, to access global demand and supply, pay and get paid, and manage their cross border and other needs from a single platform. Our financial stack provides a suite of cross-border accounts receivable (AR) and accounts payable (AP) capabilities, including multicurrency account capabilities, and includes services such as working capital and funds management. Payoneer’s core value proposition is that we remove the complexity and barriers of doing business across borders for our customers. With a multi-currency Payoneer Account, businesses and entrepreneurs around the world can serve and transact with their overseas customers, suppliers, vendors, contractors, and partners as if they were local.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primarily generate revenues when Payoneer customers use the funds in their Payoneer account to make a payment, make a purchase or to withdraw the funds to a financial institution. For our customers transacting on a B2B or DTC basis, we also in certain circumstances generate revenue when they receive funds, such as when they invoice a customer or collect payments via their webstore. Additionally, given the significant customer funds held on our platform and ongoing growth in those balances, and in light of the high interest rate environment in the U.S. and elsewhere, interest earned on customer funds held on our platform has been a significant source of revenue. Our long-term strategy is centered on growing with customers on our platform who fit our ideal customer profile, namely – those who are customers that have on average over $500 a month in volume and were active over the trailing twelve-month period, and on increasing the revenue we earn from each customer. We believe that successful execution of this strategy will drive revenue growth as (i) adding new customers who meet our ideal customer profile, improving retention, and increasing our product offerings to capture more wallet share will drive greater ad valorem volume of transactions processed through the Payoneer platform; and (ii) introducing new products and services and increasing customer adoption of additional products and services will improve our monetization of customers over time. Volume is one of the primary drivers for our revenue growth. See “Key Metrics and Non-GAAP Financial Measures” for additional information.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customers have trusted the Payoneer platform to process $19.7 billion and $18.5 billion in volume during the three months ended March 31, 2025 and 2024, respectively.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Looking forward, we intend to continue to invest actively to enhance our global platform, deliver new products, extend our regulatory footprint, further automate our operations, increase new customer growth and make acquisitions to accelerate our ability to deliver more value to customers around the world.</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Developments and Trends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Macroeconomic Conditions</w:t>
      </w:r>
    </w:p>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We are focused on executing our strategy for growth and capturing the long-term opportunity of serving cross-border SMBs from around the world. However, macroeconomic conditions, including geopolitical and other global events that impact consumer and business spending and behavior, such as, but not limited to, the interest rate environment, inflation, changes in global trade policies (including the imposition of tariffs), local political instability, global health crises, supply chain dislocations, regional and other conflicts, including the ongoing war in Ukraine and Israel’s ongoing conflicts in the Middle East, and disruptions and instability and regulatory changes in the banking sector may impact our customers, providers, banking partners and relationships and ultimately the amount of volume processed on our platform which may affect our results of operations. For example, the recent imposition of significant trade policy measures and tariffs by the U.S. government, including but not limited to tariffs on China, has introduced increased uncertainty and potential risks and opportunities for both our customers and our business. The long-term effects of these and any future trade actions on the global economy and our business remain uncertain. These developments could have a material adverse impact on our financial results in any given reporting period. We continue to monitor evolving trade policies and will evaluate potential impacts on our financial statements as more information becomes available.</w:t>
      </w:r>
    </w:p>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we increase the utility of the Payoneer Account, we have grown customer funds on our platform over a multi-year period to $6.6 billion as of March 31, 2025. During 2023, the U.S. Federal Reserve raised the target benchmark interest rate by 525 basis points to a high of 525 to 550 basis points by August 2023. Coupled with continued growth in customer balances, this drove a significant increase in the interest income revenue we earn on our customer funds. During 2024, the U.S. Federal Reserve cut the benchmark interest rate by 100 basis points to a target range of 425 to 450 basis points. As of the date of this Quarterly Report on Form 10-Q, there has been no change to the U.S. benchmark rates in the current year. While there remains uncertainty as to the timing and magnitude of future interest rate changes, we expect to see a negative impact on our revenue from declining interest rates over the medium-term. In response, we have invested a total of $1.8 billion of our customer funds in both available-for-sale debt securities and term deposits to reduce our sensitivity to declines in short term interest rates, and have purchased interest rate derivative contracts with respect to $1.9 billion in customer funds to provide a floor against the impact of interest rate declines below levels defined in the relevant interest rate derivative instruments. </w:t>
      </w:r>
    </w:p>
    <w:p>
      <w:pPr>
        <w:pStyle w:val="TextBody"/>
        <w:bidi w:val="0"/>
        <w:spacing w:lineRule="auto" w:line="304" w:before="0" w:after="240"/>
        <w:ind w:left="0" w:right="0" w:firstLine="360"/>
        <w:jc w:val="left"/>
        <w:rPr>
          <w:rFonts w:ascii="Times New Roman;Times;serif" w:hAnsi="Times New Roman;Times;serif"/>
          <w:i/>
          <w:sz w:val="20"/>
        </w:rPr>
      </w:pPr>
      <w:r>
        <w:rPr>
          <w:rFonts w:ascii="Times New Roman;Times;serif" w:hAnsi="Times New Roman;Times;serif"/>
          <w:i/>
          <w:sz w:val="20"/>
        </w:rPr>
        <w:t>Impact of Israel’s Conflicts in the Middle East</w:t>
      </w:r>
    </w:p>
    <w:p>
      <w:pPr>
        <w:pStyle w:val="TextBody"/>
        <w:bidi w:val="0"/>
        <w:spacing w:lineRule="auto" w:line="304" w:before="0" w:after="240"/>
        <w:ind w:left="0" w:right="0" w:firstLine="360"/>
        <w:jc w:val="left"/>
        <w:rPr>
          <w:rFonts w:ascii="Times New Roman;Times;serif" w:hAnsi="Times New Roman;Times;serif"/>
          <w:sz w:val="20"/>
        </w:rPr>
      </w:pPr>
      <w:r>
        <w:rPr>
          <w:rFonts w:ascii="Times New Roman;Times;serif" w:hAnsi="Times New Roman;Times;serif"/>
          <w:sz w:val="20"/>
        </w:rPr>
        <w:t>Since October 7, 2023, Israel has been at war with Hamas and Hezbollah, and exchanged attacks with Iran and other proxies of the Iranian regime. Despite the ongoing war, we have continued to operate our business and serve our customers around the world and, to date, our ability to support customers has not been materially impacted. We are monitoring the situation closely and benefit from our broad geographic footprint, partially outsourced operations model, and a robust business continuity plan. Additionally, our technology infrastructure has redundancy in place outside of Israel. Approximately 54% of our global employee base is located in Israel, including approximately 79% of our research and development resources. At this time, an insignificant portion of our Israeli workforce have been called to military reserve duty and we have contingencies in place to cover impacted roles and responsibilities.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evolving conflict is likely to continue to impact economic activity in the region and could impact revenues from customers located in Israel. Our revenue derived from customers based in Israel was insignificant for the three months ended March 31, 2025 and is included within revenues from Europe, Middle East, and Africa within Note 16 to our condensed consolidated financial statements included elsewhere in this Quarterly Report on Form 10-Q.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state of the ongoing conflict remains highly uncertain and could worsen or expand which could, in turn, further impact economic conditions in Israel and in the broader region. At this time, it is difficult to assess the impact the war may have on our future results of operations. Any further escalation, expansion, or prolonged continuation of the ongoing conflict has the potential to impact our operations as well as to negatively impact the broader global economy and may have a material adverse effect on our results of operations.</w:t>
      </w:r>
    </w:p>
    <w:p>
      <w:pPr>
        <w:pStyle w:val="TextBody"/>
        <w:bidi w:val="0"/>
        <w:spacing w:lineRule="auto" w:line="304" w:before="0" w:after="240"/>
        <w:ind w:left="0" w:right="0" w:firstLine="360"/>
        <w:jc w:val="left"/>
        <w:rPr/>
      </w:pPr>
      <w:r>
        <w:rPr/>
        <w:t>​</w:t>
      </w:r>
    </w:p>
    <w:p>
      <w:pPr>
        <w:pStyle w:val="TextBody"/>
        <w:bidi w:val="0"/>
        <w:spacing w:lineRule="auto" w:line="304" w:before="0" w:after="24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Impact of the war in Ukraine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2022, a geopolitical and armed conflict between Ukraine and Russia, which developed into an ongoing war, resulted in economic sanctions on Russia, Belarus, and certain territories in Ukraine. We provide services to customers in Ukraine and in jurisdictions that are or may be impacted by these economic sanctions. We have developed and implemented a robust transaction monitoring program designed to comply with imposed sanctions and to monitor the impact the conflict may have on our results of operations. During 2022, we ceased to provide services to customers in Russia and have limited our payment services to Belarus customers. Our revenues in Ukraine have remained relatively stable. For the three months ended March 31, 2025, Ukraine and Belarus, combined, accounted for less than 10% of our revenue, of which Belarus accounted for less than 1% of our revenue. Further escalation of the conflict may have a material effect on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Mergers &amp; Acquisitions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April 9, 2025, Payoneer acquired 100% of the outstanding equity of Payeco Finance Information Holding Corporation, the parent company of EasyLink Payment Co., Ltd., a licensed China based payment service provider. The acquisition strengthens Payoneer’s global regulatory infrastructure and positions it to better serve China-based customers with enhanced and localized products and services. Refer to Note 23 above for further information on the acquisition.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August 5, 2024, Payoneer acquired 100% of the outstanding equity of Skuad Pte. Ltd. (“Skuad”), a global workforce and payroll management company. The acquisition accelerates Payoneer’s strategy to deliver a comprehensive and integrated financial stack for SMBs that operate internationally.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period-to-period comparisons of our results of operations have been prepared using the historical periods in our condensed consolidated financial statements. The following discussion should be read in conjunction with the unaudited condensed consolidated financial statements and related Notes included within this Quarterly Report on Form 10-Q.</w:t>
      </w:r>
    </w:p>
    <w:tbl>
      <w:tblPr>
        <w:tblW w:w="7795" w:type="dxa"/>
        <w:jc w:val="left"/>
        <w:tblInd w:w="0" w:type="dxa"/>
        <w:tblLayout w:type="fixed"/>
        <w:tblCellMar>
          <w:top w:w="0" w:type="dxa"/>
          <w:left w:w="0" w:type="dxa"/>
          <w:bottom w:w="0" w:type="dxa"/>
          <w:right w:w="0" w:type="dxa"/>
        </w:tblCellMar>
      </w:tblPr>
      <w:tblGrid>
        <w:gridCol w:w="3556"/>
        <w:gridCol w:w="326"/>
        <w:gridCol w:w="211"/>
        <w:gridCol w:w="781"/>
        <w:gridCol w:w="326"/>
        <w:gridCol w:w="211"/>
        <w:gridCol w:w="781"/>
        <w:gridCol w:w="326"/>
        <w:gridCol w:w="871"/>
        <w:gridCol w:w="40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58060" cy="175260"/>
                      <wp:effectExtent l="0" t="0" r="0" b="0"/>
                      <wp:wrapNone/>
                      <wp:docPr id="267" name="Frame266"/>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95935" cy="175260"/>
                      <wp:effectExtent l="0" t="0" r="0" b="0"/>
                      <wp:wrapNone/>
                      <wp:docPr id="270" name="Frame2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53085" cy="175260"/>
                      <wp:effectExtent l="0" t="0" r="0" b="0"/>
                      <wp:wrapNone/>
                      <wp:docPr id="275" name="Frame27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57810" cy="175260"/>
                      <wp:effectExtent l="0" t="0" r="0" b="0"/>
                      <wp:wrapNone/>
                      <wp:docPr id="276" name="Frame27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406" w:type="dxa"/>
            <w:tcBorders/>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406" w:type="dxa"/>
            <w:tcBorders/>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406" w:type="dxa"/>
            <w:tcBorders/>
            <w:vAlign w:val="center"/>
          </w:tcPr>
          <w:p>
            <w:pPr>
              <w:pStyle w:val="TableContents"/>
              <w:bidi w:val="0"/>
              <w:spacing w:before="0" w:after="1"/>
              <w:ind w:left="0" w:right="0" w:hanging="0"/>
              <w:jc w:val="left"/>
              <w:rPr/>
            </w:pPr>
            <w:r>
              <w:rPr/>
              <w:t>    </w:t>
            </w:r>
          </w:p>
        </w:tc>
      </w:tr>
      <w:tr>
        <w:trPr/>
        <w:tc>
          <w:tcPr>
            <w:tcW w:w="779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913"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228,183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33,966</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40,283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32,051</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49,890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217,298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189,807</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38,376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financial income (expense), net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42,884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28,974</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 meaningful</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Revenues were $246.6 million for the three months ended March 31, 2025, an increase of $18.4 million, or 8%, compared to the prior-year period. This increase in revenue was comprised of an increase in SMB revenue, including $14.1 million from B2B SMBs, $7.9 million from SMBs that sell on marketplaces, and $3.5 million from SMBs selling DTC. This growth in SMB revenue was driven by continued adoption of our high value services, certain monetization initiatives, and ongoing growth in high take rate regions. This increase in revenues was partially offset by a decrease of $7.3 million in interest income earned on customer balances resulting from modestly lower interest rates despite an increase in customer balances held on our platform compared to the prior year period.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Transaction costs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Transaction costs were $39.3 million for the three months ended March 31, 2025, an increase of $5.4 million, or 16%, compared to the prior-year period, driven by an increase of $4.3 million in bank and processor fees and $1.4 million in card network fees. The increase in transaction costs outpaced the increase in total volume due to shift toward products with a higher cost per transaction.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Other operating expenses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Other operating expenses were $41.7 million for the three months ended March 31, 2025, an increase of $1.4 million, or 3%, compared to the prior-year period, driven by an increase of $1.1 million in information technology expenses.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Research and development expenses were $37.3 million for the three months ended March 31, 2025, an increase of $5.2 million, or 16%, compared to the prior-year period, driven by an increase of $3.8 million in employee compensation, benefits and other employee-related expenses, which were impacted by our acquisition of Skuad and also included certain restructuring charges, as well as an increase of $1.1 million in third-party contractor and consulting expenses.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Sales and marketing expenses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Sales and marketing expenses were $54.7 million for the three months ended March 31, 2025, an increase of $4.8 million, or 10%, compared to the prior-year period, driven by an increase of $2.5 million in employee compensation, benefits and other employee-related expenses in line with an increase in employee headcount and an increase of $2.2 million in expenditures on certain direct marketing efforts.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General and administrative expenses were $29.9 million for the three months ended March 31, 2025, an increase of $5.7 million, or 24%, compared to the prior-year period, driven by an increase of $5.1 million in employee compensation, benefits and other employee-related expenses primarily due to an increase in employee headcount and an increase of $1.2 million in consulting expenses, partially offset by a decrease of $1.8 million in M&amp;A related expenses.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Depreciation and amortization expenses</w:t>
      </w:r>
    </w:p>
    <w:p>
      <w:pPr>
        <w:pStyle w:val="TextBody"/>
        <w:bidi w:val="0"/>
        <w:spacing w:before="0" w:after="20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Depreciation and amortization expenses were $14.4 million for the three months ended March 31, 2025, an increase of $5.0 million, or 53%, compared to the prior-year period, mainly driven by an increase in amortization of internal use of software.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Financial income and expense, net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Financial expense, net was $1.6 million for the three months ended March 31, 2025, a change of $6.1 million, or 134%, compared to the prior-year period, primarily driven by a $4.0 million reduction in corporate interest income as a result of lower average invested balances and lower interest rates, as well as a $1.8 million gain from the change in fair value of the warrant liability in the prior year period which did not recur. </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Income tax expense was $7.2 million for the three months ended March 31, 2025, a decrease of $6.7 million, or 48%, compared to the three months ended March 31, 2024. This decrease was primarily driven by a decrease of $5.8 million in our U.S. federal current income tax expense as compared to the prior year period, which is due to a significant benefit under U.S. tax law for income earned from foreign customers.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An increasing number of jurisdictions have enacted, or are planning to enact, tax legislation consistent with the Organization for Economic Co-operation and Development’s (“OECD”) proposal for a global minimum tax of 15% on reported profits (Pillar Two of the OECD Model Rules). While Pillar Two legislation is generally effective for tax years beginning on or after January 1, 2024, it applies to Payoneer beginning January 1, 2025 with respect to those jurisdictions in which we operate that have enacted such legislation. Based on the Company’s analysis, there was not a material impact on the Company’s income tax provision for the period ended March 31, 2025. The Company will continue to monitor the impacts of evolving legislation on our effective tax rate and cash tax payments.</w:t>
      </w:r>
    </w:p>
    <w:p>
      <w:pPr>
        <w:pStyle w:val="TextBody"/>
        <w:bidi w:val="0"/>
        <w:spacing w:before="0" w:after="0"/>
        <w:ind w:left="0" w:right="0" w:firstLine="36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discussion of our liquidity and capital resources is based on the financial information derived from our unaudited condensed consolidated financial statements included elsewhere in this Quarterly Report on Form 10-Q.</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believe our existing cash and cash equivalents and cash flows from operating activities will be sufficient to meet our operating working capital, share repurchase, capital advance, and capital expenditure requirements for at least the next twelve months. Our future financing requirements will depend on many factors including our growth rate, the timing and extent of spending to support development of our platform and the ongoing expansion needs of sales and marketing activities. We have in the past and may in the future enter into agreements with third parties with respect to investments in, or acquisitions of, businesses or technologies, which could also require us to seek additional equity or debt financing.</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March 31, 2025, we had $524.2 million of cash and cash equivalents.</w:t>
      </w:r>
    </w:p>
    <w:p>
      <w:pPr>
        <w:pStyle w:val="TextBody"/>
        <w:bidi w:val="0"/>
        <w:spacing w:before="0" w:after="200"/>
        <w:ind w:left="0" w:right="0" w:firstLine="360"/>
        <w:jc w:val="both"/>
        <w:rPr>
          <w:rFonts w:ascii="Times New Roman;Times;serif" w:hAnsi="Times New Roman;Times;serif"/>
          <w:i/>
          <w:sz w:val="20"/>
        </w:rPr>
      </w:pPr>
      <w:r>
        <w:rPr>
          <w:rFonts w:ascii="Times New Roman;Times;serif" w:hAnsi="Times New Roman;Times;serif"/>
          <w:i/>
          <w:sz w:val="20"/>
        </w:rPr>
        <w:t>Current and Future Cash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2023, our Board of Directors authorized a stock repurchase program that provides for the repurchase of up to $80.0 million of our common stock, including any applicable excise tax. On December 7, 2023, the Board of Directors authorized an amendment to the program to increase the authorized amount of repurchases to an aggregate amount not to exceed $250.0 million, including the amount that remained available as of December 7, 2023 to repurchase common stock under, but not any prior repurchases effected pursuant to, the previous authorization, and any applicable excise tax. The amended authorization expires on December 31, 2025.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2025, we repurchased 1,880,309 shares of our common stock for $17.0 million. As of March 31, 2025, a total of $86.8 million remained available for future repurchases of our common stock under the program.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cash flows from operating, investing, and financing activities for the following comparative periods.</w:t>
      </w:r>
    </w:p>
    <w:tbl>
      <w:tblPr>
        <w:tblW w:w="8592" w:type="dxa"/>
        <w:jc w:val="left"/>
        <w:tblInd w:w="0" w:type="dxa"/>
        <w:tblLayout w:type="fixed"/>
        <w:tblCellMar>
          <w:top w:w="0" w:type="dxa"/>
          <w:left w:w="0" w:type="dxa"/>
          <w:bottom w:w="0" w:type="dxa"/>
          <w:right w:w="0" w:type="dxa"/>
        </w:tblCellMar>
      </w:tblPr>
      <w:tblGrid>
        <w:gridCol w:w="5671"/>
        <w:gridCol w:w="326"/>
        <w:gridCol w:w="211"/>
        <w:gridCol w:w="901"/>
        <w:gridCol w:w="326"/>
        <w:gridCol w:w="211"/>
        <w:gridCol w:w="94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01085" cy="175260"/>
                      <wp:effectExtent l="0" t="0" r="0" b="0"/>
                      <wp:wrapNone/>
                      <wp:docPr id="277" name="Frame276"/>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72135" cy="175260"/>
                      <wp:effectExtent l="0" t="0" r="0" b="0"/>
                      <wp:wrapNone/>
                      <wp:docPr id="280" name="Frame2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00710" cy="175260"/>
                      <wp:effectExtent l="0" t="0" r="0" b="0"/>
                      <wp:wrapNone/>
                      <wp:docPr id="283" name="Frame28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59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39,510</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(114,147)</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(521,113)</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cash, cash equivalents, restricted cash and customer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(597,291)</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Net cash provided by operating activities was $53.7 million for the three months ended March 31, 2025, an increase of $14.2 million compared to $39.5 million for the three months ended March 31, 2024.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Impact of net income - $8.4 million year over year decrease to operating cash flows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overall increase in operating cash flows was offset by a decrease in net income of $8.4 million in the three months ended March 31, 2025 compared to the prior year period, which was primarily a result of $27.5 million of growth in operating expenses which outpaced $18.4 million of growth in revenue, as discussed in the Results of Operations section above.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Impact of non-cash items - $4.1 million year over year increase to operating cash flows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Current year period operating cash flows include, higher non-cash addbacks to net income to arrive at operating cash flows compared to prior year, consisting primarily of a $5.0 million increase in depreciation and amortization expense and a $3.7 million increase in stock-based compensation expense.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overall increase to operating cash flows from non-cash items was partially offset by higher non-cash reductions to net income compared to prior years, consisting primarily of a decrease of $3.4 million in the amount of the addback due to the effect of exchange rate changes on cash and cash equivalents and a $2.1 million increase in interest not paid in cash and amortization of discount on investments in debt securities.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Impact of changes in operating assets and liabilities - $18.5 million year over year increase to operating cash flows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2025, cash flows related to Capital advance receivables increased $17.8 million compared to the prior year period, driven by higher originations in late 2024 compared to 2023 which were collected in the current year period.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Cash flows from Other current assets increased $16.2 million relative to the prior year period, driven by a one-time cash tax refund and timing of payments relative to period cutoff.</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These increases were partially offset by cash flows from Other assets, which decreased $5.1 million compared to the prior year, primarily due to interest receivable from certificates of deposits that was not accrued in the prior period. Additionally, cash flows related to Other payables and trade payables decreased $4.6 million and $4.3 million, respectively, in each case compared to the prior year period, due to changes in timing of payments relative to period cut-off. </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 xml:space="preserve">Net cash used in investing activities was $48.0 million for the three months ended March 31, 2025, a decrease of $66.2 million compared to net cash used in investing activities of $114.1 million for the three months ended March 31, 2024. </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This change was predominantly related to lower purchases and higher maturities of investments in available-for-sale debt securities, resulting in $91.2 million less cash used in financing activities in the current year period compared to prior year. This was partially offset by additional customer funds in-transit balances of $19.9 million.</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Net cash used in financing activities was $402.4 million for the three months ended March 31, 2025, a decrease of $118.7 million compared to net cash used in financing activities of $521.1 million for the three months ended March 31, 2024. Current period cash used in financing activities reflects the $385.8 million decline in customer balances since the beginning of the period which was $83.8 million lower than the $469.6 million decline in the prior year period. Additionally share repurchases were $33.2 million lower than in the prior year period.</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Key Metrics and Non-GAAP Financial Measures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Our management uses a variety of financial and operating metrics to evaluate our business, analyze our performance, and make strategic decisions. We believe these metrics and non-GAAP financial measures provide useful information to investors and others in understanding and evaluating our operating results in the same manner as management. However, certain of these measures are not financial measures calculated in accordance with GAAP and should not be considered as substitutes for financial measures that have been calculated in accordance with GAAP. We primarily review the following key performance indicators and non-GAAP measures when assessing our performance:</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Volume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Volume refers to the total dollar value of transactions successfully completed or enabled by our platform, not including orchestration transactions. For a customer that both receives and later sends payments, we count the volume only once. Volume serves as a key metric for overall business activity, as growing volume is one of the primary drivers for our revenue growth.</w:t>
      </w:r>
    </w:p>
    <w:tbl>
      <w:tblPr>
        <w:tblW w:w="3536" w:type="dxa"/>
        <w:jc w:val="left"/>
        <w:tblInd w:w="0" w:type="dxa"/>
        <w:tblLayout w:type="fixed"/>
        <w:tblCellMar>
          <w:top w:w="0" w:type="dxa"/>
          <w:left w:w="0" w:type="dxa"/>
          <w:bottom w:w="0" w:type="dxa"/>
          <w:right w:w="0" w:type="dxa"/>
        </w:tblCellMar>
      </w:tblPr>
      <w:tblGrid>
        <w:gridCol w:w="766"/>
        <w:gridCol w:w="326"/>
        <w:gridCol w:w="234"/>
        <w:gridCol w:w="749"/>
        <w:gridCol w:w="361"/>
        <w:gridCol w:w="234"/>
        <w:gridCol w:w="866"/>
      </w:tblGrid>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8590" cy="175260"/>
                      <wp:effectExtent l="0" t="0" r="0" b="0"/>
                      <wp:wrapNone/>
                      <wp:docPr id="285" name="Frame28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75615" cy="175260"/>
                      <wp:effectExtent l="0" t="0" r="0" b="0"/>
                      <wp:wrapNone/>
                      <wp:docPr id="286" name="Frame285"/>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9235" cy="175260"/>
                      <wp:effectExtent l="0" t="0" r="0" b="0"/>
                      <wp:wrapNone/>
                      <wp:docPr id="287" name="Frame2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8590" cy="175260"/>
                      <wp:effectExtent l="0" t="0" r="0" b="0"/>
                      <wp:wrapNone/>
                      <wp:docPr id="288" name="Frame28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49910" cy="175260"/>
                      <wp:effectExtent l="0" t="0" r="0" b="0"/>
                      <wp:wrapNone/>
                      <wp:docPr id="289" name="Frame288"/>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3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19,676</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18,455</w:t>
            </w:r>
          </w:p>
        </w:tc>
      </w:tr>
    </w:tbl>
    <w:p>
      <w:pPr>
        <w:pStyle w:val="TextBody"/>
        <w:bidi w:val="0"/>
        <w:spacing w:before="0" w:after="0"/>
        <w:ind w:left="0" w:right="0" w:hanging="0"/>
        <w:jc w:val="left"/>
        <w:rPr/>
      </w:pPr>
      <w:r>
        <w:rPr/>
        <w:t>​</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 xml:space="preserve">Volume grew 7% for the three months ended March 31, 2025 compared to the three months ended March 31, 2024, driven by a combination of continued strong growth in volume from B2B SMBs, as well as growth in volumes from SMBs selling on marketplaces, and in volumes processed for enterprise partners, including in the travel segment. </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We generate revenues mainly from transaction fees, which vary based on the type of service the customer utilizes. Transaction fee revenue principally consists of fees for withdrawals and usage. We also earn revenues in certain instances from volumes coming into the platform related to our B2B services and through our Checkout offering. We generate significant revenues from interest earned on customer funds held on our platform. In addition, we generate revenue from non-volume-based products and services which are based on a fixed fee. We believe that Revenue demonstrates our ability to monetize volume activity on our platform. Our revenues can be impacted by the following:</w:t>
      </w:r>
    </w:p>
    <w:tbl>
      <w:tblPr>
        <w:tblW w:w="4191" w:type="dxa"/>
        <w:jc w:val="left"/>
        <w:tblInd w:w="0" w:type="dxa"/>
        <w:tblLayout w:type="fixed"/>
        <w:tblCellMar>
          <w:top w:w="28" w:type="dxa"/>
          <w:left w:w="28" w:type="dxa"/>
          <w:bottom w:w="28" w:type="dxa"/>
          <w:right w:w="28" w:type="dxa"/>
        </w:tblCellMar>
      </w:tblPr>
      <w:tblGrid>
        <w:gridCol w:w="124"/>
        <w:gridCol w:w="28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Mix in customer size, products, and services;</w:t>
            </w:r>
          </w:p>
        </w:tc>
      </w:tr>
    </w:tbl>
    <w:tbl>
      <w:tblPr>
        <w:tblW w:w="4926" w:type="dxa"/>
        <w:jc w:val="left"/>
        <w:tblInd w:w="0" w:type="dxa"/>
        <w:tblLayout w:type="fixed"/>
        <w:tblCellMar>
          <w:top w:w="28" w:type="dxa"/>
          <w:left w:w="28" w:type="dxa"/>
          <w:bottom w:w="28" w:type="dxa"/>
          <w:right w:w="28" w:type="dxa"/>
        </w:tblCellMar>
      </w:tblPr>
      <w:tblGrid>
        <w:gridCol w:w="124"/>
        <w:gridCol w:w="34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Mix between domestic and cross-border transactions;</w:t>
            </w:r>
          </w:p>
        </w:tc>
      </w:tr>
    </w:tbl>
    <w:tbl>
      <w:tblPr>
        <w:tblW w:w="5886" w:type="dxa"/>
        <w:jc w:val="left"/>
        <w:tblInd w:w="0" w:type="dxa"/>
        <w:tblLayout w:type="fixed"/>
        <w:tblCellMar>
          <w:top w:w="28" w:type="dxa"/>
          <w:left w:w="28" w:type="dxa"/>
          <w:bottom w:w="28" w:type="dxa"/>
          <w:right w:w="28" w:type="dxa"/>
        </w:tblCellMar>
      </w:tblPr>
      <w:tblGrid>
        <w:gridCol w:w="124"/>
        <w:gridCol w:w="40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region or country in which a transaction occurs; and</w:t>
            </w:r>
          </w:p>
        </w:tc>
      </w:tr>
    </w:tbl>
    <w:tbl>
      <w:tblPr>
        <w:tblW w:w="5526" w:type="dxa"/>
        <w:jc w:val="left"/>
        <w:tblInd w:w="0" w:type="dxa"/>
        <w:tblLayout w:type="fixed"/>
        <w:tblCellMar>
          <w:top w:w="28" w:type="dxa"/>
          <w:left w:w="28" w:type="dxa"/>
          <w:bottom w:w="28" w:type="dxa"/>
          <w:right w:w="28" w:type="dxa"/>
        </w:tblCellMar>
      </w:tblPr>
      <w:tblGrid>
        <w:gridCol w:w="124"/>
        <w:gridCol w:w="391"/>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other market conditions including interest rates.</w:t>
            </w:r>
          </w:p>
        </w:tc>
      </w:tr>
    </w:tbl>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Management closely monitors volume and revenue to ensure that we continue to grow funds and business activity that enters into the platform, expanding our overall scale and the reach of our business.</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In addition to our financial results determined in accordance with GAAP, we believe Adjusted EBITDA, as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Adjusted EBITDA</w:t>
      </w:r>
    </w:p>
    <w:tbl>
      <w:tblPr>
        <w:tblW w:w="6491" w:type="dxa"/>
        <w:jc w:val="left"/>
        <w:tblInd w:w="0" w:type="dxa"/>
        <w:tblLayout w:type="fixed"/>
        <w:tblCellMar>
          <w:top w:w="0" w:type="dxa"/>
          <w:left w:w="0" w:type="dxa"/>
          <w:bottom w:w="0" w:type="dxa"/>
          <w:right w:w="0" w:type="dxa"/>
        </w:tblCellMar>
      </w:tblPr>
      <w:tblGrid>
        <w:gridCol w:w="3721"/>
        <w:gridCol w:w="326"/>
        <w:gridCol w:w="234"/>
        <w:gridCol w:w="749"/>
        <w:gridCol w:w="361"/>
        <w:gridCol w:w="234"/>
        <w:gridCol w:w="866"/>
      </w:tblGrid>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8590" cy="175260"/>
                      <wp:effectExtent l="0" t="0" r="0" b="0"/>
                      <wp:wrapNone/>
                      <wp:docPr id="291" name="Frame29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75615" cy="175260"/>
                      <wp:effectExtent l="0" t="0" r="0" b="0"/>
                      <wp:wrapNone/>
                      <wp:docPr id="292" name="Frame291"/>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29235" cy="175260"/>
                      <wp:effectExtent l="0" t="0" r="0" b="0"/>
                      <wp:wrapNone/>
                      <wp:docPr id="293" name="Frame2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8590" cy="175260"/>
                      <wp:effectExtent l="0" t="0" r="0" b="0"/>
                      <wp:wrapNone/>
                      <wp:docPr id="294" name="Frame29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49910" cy="175260"/>
                      <wp:effectExtent l="0" t="0" r="0" b="0"/>
                      <wp:wrapNone/>
                      <wp:docPr id="295" name="Frame29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49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20,577</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28,974</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14,390</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expense (income), net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w:t>
            </w:r>
          </w:p>
        </w:tc>
        <w:tc>
          <w:tcPr>
            <w:tcW w:w="361"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43,709</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49,545</w:t>
            </w:r>
          </w:p>
        </w:tc>
      </w:tr>
      <w:tr>
        <w:trPr/>
        <w:tc>
          <w:tcPr>
            <w:tcW w:w="37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18,755</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15,077</w:t>
            </w:r>
          </w:p>
        </w:tc>
      </w:tr>
      <w:tr>
        <w:trPr/>
        <w:tc>
          <w:tcPr>
            <w:tcW w:w="37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M&amp;A related expenses</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r>
      <w:tr>
        <w:trPr/>
        <w:tc>
          <w:tcPr>
            <w:tcW w:w="37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Warrants</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r>
      <w:tr>
        <w:trPr/>
        <w:tc>
          <w:tcPr>
            <w:tcW w:w="37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charges</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65,431</w:t>
            </w:r>
          </w:p>
        </w:tc>
        <w:tc>
          <w:tcPr>
            <w:tcW w:w="361"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65,236</w:t>
            </w:r>
          </w:p>
        </w:tc>
      </w:tr>
    </w:tbl>
    <w:p>
      <w:pPr>
        <w:pStyle w:val="TextBody"/>
        <w:pBdr/>
        <w:bidi w:val="0"/>
        <w:spacing w:lineRule="auto" w:line="240" w:before="0" w:after="100"/>
        <w:ind w:left="0" w:right="0" w:hanging="144"/>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Represents non-cash charges associated with stock-based compensation expense, which has been, and will continue to be for the foreseeable future, a significant recurring expense in our business and an important part of our compensation strategy.</w:t>
      </w:r>
    </w:p>
    <w:p>
      <w:pPr>
        <w:pStyle w:val="TextBody"/>
        <w:pBdr/>
        <w:bidi w:val="0"/>
        <w:spacing w:lineRule="auto" w:line="240" w:before="0" w:after="100"/>
        <w:ind w:left="0" w:right="0" w:hanging="144"/>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Amounts relate to M&amp;A-related third-party fees, including related legal, consulting and other expenditures. Additionally, amounts for the three months ended March 31, 2025 include $0.3 million in non-recurring fair value adjustment of the Skuad contingent consideration liability discussed in Note 3 to our condensed consolidated financial statements included elsewhere within this Quarterly Report on Form 10-Q.</w:t>
      </w:r>
    </w:p>
    <w:p>
      <w:pPr>
        <w:pStyle w:val="TextBody"/>
        <w:pBdr/>
        <w:bidi w:val="0"/>
        <w:spacing w:lineRule="auto" w:line="240" w:before="0" w:after="200"/>
        <w:ind w:left="0" w:right="0" w:hanging="144"/>
        <w:jc w:val="left"/>
        <w:rPr>
          <w:rFonts w:ascii="Times New Roman;Times;serif" w:hAnsi="Times New Roman;Times;serif"/>
          <w:sz w:val="16"/>
        </w:rPr>
      </w:pPr>
      <w:r>
        <w:rPr>
          <w:rFonts w:ascii="Times New Roman;Times;serif" w:hAnsi="Times New Roman;Times;serif"/>
          <w:sz w:val="12"/>
        </w:rPr>
        <w:t>(3)</w:t>
      </w:r>
      <w:r>
        <w:rPr>
          <w:rFonts w:ascii="Times New Roman;Times;serif" w:hAnsi="Times New Roman;Times;serif"/>
          <w:sz w:val="16"/>
        </w:rPr>
        <w:t> Changes in the estimated fair value of the warrants are recognized as gain or loss on the condensed consolidated statements of comprehensive income. The impact is removed from EBITDA as it represents market conditions that are not in our control.</w:t>
      </w:r>
    </w:p>
    <w:p>
      <w:pPr>
        <w:pStyle w:val="TextBody"/>
        <w:pBdr/>
        <w:bidi w:val="0"/>
        <w:spacing w:lineRule="auto" w:line="240" w:before="0" w:after="200"/>
        <w:ind w:left="0" w:right="0" w:hanging="144"/>
        <w:jc w:val="left"/>
        <w:rPr>
          <w:rFonts w:ascii="Times New Roman;Times;serif" w:hAnsi="Times New Roman;Times;serif"/>
          <w:sz w:val="16"/>
        </w:rPr>
      </w:pPr>
      <w:r>
        <w:rPr>
          <w:rFonts w:ascii="Times New Roman;Times;serif" w:hAnsi="Times New Roman;Times;serif"/>
          <w:sz w:val="12"/>
        </w:rPr>
        <w:t>(4)</w:t>
      </w:r>
      <w:r>
        <w:rPr>
          <w:rFonts w:ascii="Times New Roman;Times;serif" w:hAnsi="Times New Roman;Times;serif"/>
          <w:sz w:val="16"/>
        </w:rPr>
        <w:t xml:space="preserve"> Represents non-recurring costs related to severance and other employee termination benefits. </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180"/>
        <w:ind w:left="0" w:right="0" w:firstLine="360"/>
        <w:jc w:val="left"/>
        <w:rPr>
          <w:rFonts w:ascii="Times New Roman;Times;serif" w:hAnsi="Times New Roman;Times;serif"/>
          <w:b/>
          <w:sz w:val="20"/>
        </w:rPr>
      </w:pPr>
      <w:r>
        <w:rPr>
          <w:rFonts w:ascii="Times New Roman;Times;serif" w:hAnsi="Times New Roman;Times;serif"/>
          <w:b w:val="false"/>
          <w:sz w:val="20"/>
        </w:rPr>
        <w:t>For more information, see “Payoneer Management’s Discussion and Analysis of Financial Condition and Results of Operations” in the Company’s Form 10-K filed with the SEC on February 27, 2025.</w:t>
      </w:r>
      <w:r>
        <w:rPr>
          <w:rFonts w:ascii="Times New Roman;Times;serif" w:hAnsi="Times New Roman;Times;serif"/>
          <w:b/>
          <w:sz w:val="20"/>
        </w:rPr>
        <w:t xml:space="preserve"> </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 of operations or cash flows is disclosed in Note 2 to our unaudited condensed consolidated financial statements included elsewhere within this Quarterly Report on Form 10-Q.</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1319" w:name="ITEM3QUANTITATIVEANDQUALITATIVEDISCLOSUR"/>
      <w:bookmarkStart w:id="1320" w:name="_06de8123_0b21_42ed_b0e5_58b83b033176"/>
      <w:bookmarkEnd w:id="1319"/>
      <w:bookmarkEnd w:id="1320"/>
      <w:r>
        <w:rPr>
          <w:rFonts w:ascii="Times New Roman;Times;serif" w:hAnsi="Times New Roman;Times;serif"/>
          <w:b/>
          <w:sz w:val="20"/>
        </w:rPr>
        <w:t>ITEM 3. QUANTITATIVE AND QUALITATIVE DISCLOSURES ABOUT MARKET RISK</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We have operations both within the United States and globally,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Interest Rate Sensitivity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majority of our cash and cash equivalents and assets underlying customer funds were held in cash deposits and money market funds as of March 31, 2025, the fair value of which would not be materially affected by either an increase or decrease in interest rates, due mainly to the relatively short-term nature of these instruments. The fair value of our investments in term deposits and U.S. Treasury Securities, amounting to $1.8 billion, would be affected by changes in interest rates, and such changes could be material.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has entered into interest rate floor contracts with respect to $1.9 billion in customer funds to limit the potential risk declining interest rates would have on our revenues from interest income, though as of the periods ended March 31, 2025 and 2024, respectively, a hypothetical 1% increase or decrease in interest rates could have a material effect on our revenues and earnings.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While most of our revenue is earned in U.S. dollars, our foreign currency exposure includes currencies of the countries in which our operations are located, including operating expenses denominated in New Israeli Shekels. To reduce that risk, we invest in foreign currency forward contracts and net purchased options, which are accounted for as cash flow hedges.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 hypothetical 10% strengthening or weakening of the U.S. dollar against the New Israeli Shekel would have had a material impact on unrealized gains (losses) recognized in AOCI at March 31, 2025.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foreign currency exposure also includes currencies in which our customer funds are held, or in which they are withdrawn or utilized, and may be subject to fluctuations due to changes in foreign currency exchange rates, particularly changes in the Euro, Japanese Yen, Chinese Yuan, Canadian Dollar, New Israeli Shekel, Philippine Peso, Indian Rupee, Mexican Peso, Pakistani Rupee, South Korean Won, Turkish Lira, New Zealand Dollar, Swiss Franc, and Polish Zloty. As of the three months ended March 31, 2025 and 2024, respectively, a hypothetical 10% increase or decrease in current exchange rates could have a material impact on our financial results.</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some of our services include the opportunity for Payoneer to generate revenues from foreign exchange transactions as part of the payment delivery process. Our ability to generate such revenues is partially dependent on external factors such as market conditions, applicable regulations and our ability to negotiate with third-party financial institutions. The impact of these efforts to optimize foreign exchange can be material to revenues and earnings.</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1321" w:name="ITEM4CONTROLSANDPROCEDURES_304571"/>
      <w:bookmarkStart w:id="1322" w:name="_460ad7b2_78a5_4e76_9d56_182b4452dba9"/>
      <w:bookmarkEnd w:id="1321"/>
      <w:bookmarkEnd w:id="1322"/>
      <w:r>
        <w:rPr>
          <w:rFonts w:ascii="Times New Roman;Times;serif" w:hAnsi="Times New Roman;Times;serif"/>
          <w:b/>
          <w:sz w:val="20"/>
        </w:rPr>
        <w:t>ITEM 4. CONTROLS AND PROCEDURES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required by Rules 13a-15 and 15d-15 under the Exchange Act, our Chief Executive Officer and Chief Financial Officer carried out an evaluation of the effectiveness of the design and operation of our disclosure controls and procedures as of March 31, 2025.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0" w:after="200"/>
        <w:ind w:left="0" w:right="0" w:hanging="0"/>
        <w:jc w:val="left"/>
        <w:rPr/>
      </w:pPr>
      <w:bookmarkStart w:id="1323" w:name="_f85bbf15_987d_4045_b5b7_40c5b2845a12"/>
      <w:bookmarkEnd w:id="1323"/>
      <w:r>
        <w:rPr/>
        <w:t>​</w:t>
      </w:r>
    </w:p>
    <w:p>
      <w:pPr>
        <w:pStyle w:val="TextBody"/>
        <w:bidi w:val="0"/>
        <w:spacing w:before="0" w:after="200"/>
        <w:ind w:left="0" w:right="0" w:hanging="0"/>
        <w:jc w:val="left"/>
        <w:rPr>
          <w:rFonts w:ascii="Times New Roman;Times;serif" w:hAnsi="Times New Roman;Times;serif"/>
          <w:b/>
          <w:sz w:val="20"/>
        </w:rPr>
      </w:pPr>
      <w:bookmarkStart w:id="1324" w:name="PARTIIOTHERINFORMATION_675437"/>
      <w:bookmarkEnd w:id="1324"/>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325" w:name="ITEM1LEGALPROCEEDINGS_232152"/>
      <w:bookmarkEnd w:id="1325"/>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are a party to various litigation matters incidental to the conduct of our business. Refer to Note 15 (Commitments and Contingencies) to the condensed consolidated financial statements included in Part I, Item 1 of this Form 10-Q.</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more information on risks related to litigation, see the section titled “Risk Factors — General Risks Related to Payoneer — We may be subject to various legal proceedings which could materially adversely affect our business, financial condition or results of operations” in our Annual Report on Form 10-K, filed with the SEC on February 27, 2025.</w:t>
      </w:r>
    </w:p>
    <w:p>
      <w:pPr>
        <w:pStyle w:val="TextBody"/>
        <w:bidi w:val="0"/>
        <w:spacing w:before="0" w:after="200"/>
        <w:ind w:left="0" w:right="0" w:hanging="0"/>
        <w:jc w:val="left"/>
        <w:rPr>
          <w:rFonts w:ascii="Times New Roman;Times;serif" w:hAnsi="Times New Roman;Times;serif"/>
          <w:b/>
          <w:sz w:val="20"/>
        </w:rPr>
      </w:pPr>
      <w:bookmarkStart w:id="1326" w:name="ITEM1ARISKFACTORS_871288"/>
      <w:bookmarkStart w:id="1327" w:name="_6bc6b902_05cc_4833_8557_6874c8d60826"/>
      <w:bookmarkEnd w:id="1326"/>
      <w:bookmarkEnd w:id="1327"/>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the date of this Quarterly Report on Form 10-Q, there have been no material changes to the risk factors disclosed in our Annual Report on Form 10-K, filed with the SEC on February 27, 2025. However, we may disclose changes to such factors or disclose additional factors from time to time in our future filings with the SEC.</w:t>
      </w:r>
    </w:p>
    <w:p>
      <w:pPr>
        <w:pStyle w:val="TextBody"/>
        <w:bidi w:val="0"/>
        <w:spacing w:before="0" w:after="200"/>
        <w:ind w:left="0" w:right="0" w:hanging="0"/>
        <w:jc w:val="left"/>
        <w:rPr>
          <w:rFonts w:ascii="Times New Roman;Times;serif" w:hAnsi="Times New Roman;Times;serif"/>
          <w:b/>
          <w:sz w:val="20"/>
        </w:rPr>
      </w:pPr>
      <w:bookmarkStart w:id="1328" w:name="ITEM2UNREGISTEREDSALESOFEQUITYSECURITIES"/>
      <w:bookmarkStart w:id="1329" w:name="_0e6969fb_ae4c_47ca_997d_d9d9d5343ca9"/>
      <w:bookmarkEnd w:id="1328"/>
      <w:bookmarkEnd w:id="1329"/>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did not complete any unregistered sales of equity securities during the three months ended March 31, 2025.</w:t>
      </w:r>
    </w:p>
    <w:p>
      <w:pPr>
        <w:pStyle w:val="TextBody"/>
        <w:bidi w:val="0"/>
        <w:spacing w:before="0" w:after="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Share Repurchase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provides information with respect to repurchases made by the Company during the three months ended March 31, 2025. All repurchases listed below were made in the open market. </w:t>
      </w:r>
    </w:p>
    <w:p>
      <w:pPr>
        <w:pStyle w:val="TextBody"/>
        <w:bidi w:val="0"/>
        <w:spacing w:before="0" w:after="20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515"/>
        <w:gridCol w:w="109"/>
        <w:gridCol w:w="1512"/>
        <w:gridCol w:w="109"/>
        <w:gridCol w:w="1209"/>
        <w:gridCol w:w="109"/>
        <w:gridCol w:w="2606"/>
        <w:gridCol w:w="109"/>
        <w:gridCol w:w="2927"/>
      </w:tblGrid>
      <w:tr>
        <w:trPr/>
        <w:tc>
          <w:tcPr>
            <w:tcW w:w="15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7" w:type="dxa"/>
            <w:tcBorders/>
            <w:vAlign w:val="center"/>
          </w:tcPr>
          <w:p>
            <w:pPr>
              <w:pStyle w:val="TableContents"/>
              <w:bidi w:val="0"/>
              <w:spacing w:before="0" w:after="0"/>
              <w:ind w:left="0" w:right="0" w:hanging="0"/>
              <w:jc w:val="left"/>
              <w:rPr/>
            </w:pPr>
            <w:r>
              <w:rPr/>
              <w:t>​</w:t>
            </w:r>
          </w:p>
        </w:tc>
      </w:tr>
      <w:tr>
        <w:trPr/>
        <w:tc>
          <w:tcPr>
            <w:tcW w:w="1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w:t>
            </w:r>
          </w:p>
        </w:tc>
        <w:tc>
          <w:tcPr>
            <w:tcW w:w="109" w:type="dxa"/>
            <w:tcBorders/>
            <w:vAlign w:val="center"/>
          </w:tcPr>
          <w:p>
            <w:pPr>
              <w:pStyle w:val="TableContents"/>
              <w:bidi w:val="0"/>
              <w:spacing w:before="0" w:after="0"/>
              <w:ind w:left="0" w:right="0" w:hanging="0"/>
              <w:jc w:val="center"/>
              <w:rPr/>
            </w:pPr>
            <w:r>
              <w:rPr/>
              <w:t>​</w:t>
            </w:r>
          </w:p>
        </w:tc>
        <w:tc>
          <w:tcPr>
            <w:tcW w:w="151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Total Number of Shares Purchased</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center"/>
              <w:rPr/>
            </w:pPr>
            <w:r>
              <w:rPr/>
              <w:t>​</w:t>
            </w:r>
          </w:p>
        </w:tc>
        <w:tc>
          <w:tcPr>
            <w:tcW w:w="12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60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Total Number of Shares Purchased as Part of Publicly Announced Plans or Progreams</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center"/>
              <w:rPr/>
            </w:pPr>
            <w:r>
              <w:rPr/>
              <w:t>​</w:t>
            </w:r>
          </w:p>
        </w:tc>
        <w:tc>
          <w:tcPr>
            <w:tcW w:w="292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Approximate Dollar Value of Shares That May Yet Be Purchased Under the Plans or Programs</w:t>
            </w:r>
            <w:r>
              <w:rPr>
                <w:rFonts w:ascii="Times New Roman;Times;serif" w:hAnsi="Times New Roman;Times;serif"/>
                <w:sz w:val="15"/>
              </w:rPr>
              <w:t>2</w:t>
            </w:r>
          </w:p>
        </w:tc>
      </w:tr>
      <w:tr>
        <w:trPr/>
        <w:tc>
          <w:tcPr>
            <w:tcW w:w="1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2025 - January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530,945</w:t>
            </w:r>
          </w:p>
        </w:tc>
        <w:tc>
          <w:tcPr>
            <w:tcW w:w="109" w:type="dxa"/>
            <w:tcBorders/>
            <w:shd w:fill="CCEEFF" w:val="clear"/>
            <w:vAlign w:val="center"/>
          </w:tcPr>
          <w:p>
            <w:pPr>
              <w:pStyle w:val="TableContents"/>
              <w:bidi w:val="0"/>
              <w:spacing w:before="0" w:after="0"/>
              <w:ind w:left="0" w:right="0" w:hanging="0"/>
              <w:jc w:val="left"/>
              <w:rPr/>
            </w:pPr>
            <w:r>
              <w:rPr/>
              <w:t>​</w:t>
            </w:r>
          </w:p>
        </w:tc>
        <w:tc>
          <w:tcPr>
            <w:tcW w:w="12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109" w:type="dxa"/>
            <w:tcBorders/>
            <w:shd w:fill="CCEEFF" w:val="clear"/>
            <w:vAlign w:val="center"/>
          </w:tcPr>
          <w:p>
            <w:pPr>
              <w:pStyle w:val="TableContents"/>
              <w:bidi w:val="0"/>
              <w:spacing w:before="0" w:after="0"/>
              <w:ind w:left="0" w:right="0" w:hanging="0"/>
              <w:jc w:val="left"/>
              <w:rPr/>
            </w:pPr>
            <w:r>
              <w:rPr/>
              <w:t>​</w:t>
            </w:r>
          </w:p>
        </w:tc>
        <w:tc>
          <w:tcPr>
            <w:tcW w:w="2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530,945</w:t>
            </w:r>
          </w:p>
        </w:tc>
        <w:tc>
          <w:tcPr>
            <w:tcW w:w="109" w:type="dxa"/>
            <w:tcBorders/>
            <w:shd w:fill="CCEEFF" w:val="clear"/>
            <w:vAlign w:val="center"/>
          </w:tcPr>
          <w:p>
            <w:pPr>
              <w:pStyle w:val="TableContents"/>
              <w:bidi w:val="0"/>
              <w:spacing w:before="0" w:after="0"/>
              <w:ind w:left="0" w:right="0" w:hanging="0"/>
              <w:jc w:val="left"/>
              <w:rPr/>
            </w:pPr>
            <w:r>
              <w:rPr/>
              <w:t>​</w:t>
            </w:r>
          </w:p>
        </w:tc>
        <w:tc>
          <w:tcPr>
            <w:tcW w:w="29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$ 98,298</w:t>
            </w:r>
          </w:p>
        </w:tc>
      </w:tr>
      <w:tr>
        <w:trPr/>
        <w:tc>
          <w:tcPr>
            <w:tcW w:w="1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2025 - February 28, 2025</w:t>
            </w:r>
          </w:p>
        </w:tc>
        <w:tc>
          <w:tcPr>
            <w:tcW w:w="109" w:type="dxa"/>
            <w:tcBorders/>
            <w:vAlign w:val="center"/>
          </w:tcPr>
          <w:p>
            <w:pPr>
              <w:pStyle w:val="TableContents"/>
              <w:bidi w:val="0"/>
              <w:spacing w:before="0" w:after="0"/>
              <w:ind w:left="0" w:right="0" w:hanging="0"/>
              <w:jc w:val="left"/>
              <w:rPr/>
            </w:pPr>
            <w:r>
              <w:rPr/>
              <w:t>​</w:t>
            </w:r>
          </w:p>
        </w:tc>
        <w:tc>
          <w:tcPr>
            <w:tcW w:w="1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521,355</w:t>
            </w:r>
          </w:p>
        </w:tc>
        <w:tc>
          <w:tcPr>
            <w:tcW w:w="109"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2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521,355</w:t>
            </w:r>
          </w:p>
        </w:tc>
        <w:tc>
          <w:tcPr>
            <w:tcW w:w="109" w:type="dxa"/>
            <w:tcBorders/>
            <w:vAlign w:val="center"/>
          </w:tcPr>
          <w:p>
            <w:pPr>
              <w:pStyle w:val="TableContents"/>
              <w:bidi w:val="0"/>
              <w:spacing w:before="0" w:after="0"/>
              <w:ind w:left="0" w:right="0" w:hanging="0"/>
              <w:jc w:val="left"/>
              <w:rPr/>
            </w:pPr>
            <w:r>
              <w:rPr/>
              <w:t>​</w:t>
            </w:r>
          </w:p>
        </w:tc>
        <w:tc>
          <w:tcPr>
            <w:tcW w:w="29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$ 93,023</w:t>
            </w:r>
          </w:p>
        </w:tc>
      </w:tr>
      <w:tr>
        <w:trPr/>
        <w:tc>
          <w:tcPr>
            <w:tcW w:w="1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2025 -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5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828,009</w:t>
            </w:r>
          </w:p>
        </w:tc>
        <w:tc>
          <w:tcPr>
            <w:tcW w:w="109" w:type="dxa"/>
            <w:tcBorders/>
            <w:shd w:fill="CCEEFF" w:val="clear"/>
            <w:vAlign w:val="center"/>
          </w:tcPr>
          <w:p>
            <w:pPr>
              <w:pStyle w:val="TableContents"/>
              <w:bidi w:val="0"/>
              <w:spacing w:before="0" w:after="0"/>
              <w:ind w:left="0" w:right="0" w:hanging="0"/>
              <w:jc w:val="left"/>
              <w:rPr/>
            </w:pPr>
            <w:r>
              <w:rPr/>
              <w:t>​</w:t>
            </w:r>
          </w:p>
        </w:tc>
        <w:tc>
          <w:tcPr>
            <w:tcW w:w="12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109" w:type="dxa"/>
            <w:tcBorders/>
            <w:shd w:fill="CCEEFF" w:val="clear"/>
            <w:vAlign w:val="center"/>
          </w:tcPr>
          <w:p>
            <w:pPr>
              <w:pStyle w:val="TableContents"/>
              <w:bidi w:val="0"/>
              <w:spacing w:before="0" w:after="0"/>
              <w:ind w:left="0" w:right="0" w:hanging="0"/>
              <w:jc w:val="left"/>
              <w:rPr/>
            </w:pPr>
            <w:r>
              <w:rPr/>
              <w:t>​</w:t>
            </w:r>
          </w:p>
        </w:tc>
        <w:tc>
          <w:tcPr>
            <w:tcW w:w="2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828,009</w:t>
            </w:r>
          </w:p>
        </w:tc>
        <w:tc>
          <w:tcPr>
            <w:tcW w:w="109" w:type="dxa"/>
            <w:tcBorders/>
            <w:shd w:fill="CCEEFF" w:val="clear"/>
            <w:vAlign w:val="center"/>
          </w:tcPr>
          <w:p>
            <w:pPr>
              <w:pStyle w:val="TableContents"/>
              <w:bidi w:val="0"/>
              <w:spacing w:before="0" w:after="0"/>
              <w:ind w:left="0" w:right="0" w:hanging="0"/>
              <w:jc w:val="left"/>
              <w:rPr/>
            </w:pPr>
            <w:r>
              <w:rPr/>
              <w:t>​</w:t>
            </w:r>
          </w:p>
        </w:tc>
        <w:tc>
          <w:tcPr>
            <w:tcW w:w="2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$ 86,773</w:t>
            </w:r>
          </w:p>
        </w:tc>
      </w:tr>
      <w:tr>
        <w:trPr/>
        <w:tc>
          <w:tcPr>
            <w:tcW w:w="1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15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1,880,309</w:t>
            </w:r>
          </w:p>
        </w:tc>
        <w:tc>
          <w:tcPr>
            <w:tcW w:w="109"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1,880,309</w:t>
            </w:r>
          </w:p>
        </w:tc>
        <w:tc>
          <w:tcPr>
            <w:tcW w:w="109" w:type="dxa"/>
            <w:tcBorders/>
            <w:vAlign w:val="center"/>
          </w:tcPr>
          <w:p>
            <w:pPr>
              <w:pStyle w:val="TableContents"/>
              <w:bidi w:val="0"/>
              <w:spacing w:before="0" w:after="0"/>
              <w:ind w:left="0" w:right="0" w:hanging="0"/>
              <w:jc w:val="left"/>
              <w:rPr/>
            </w:pPr>
            <w:r>
              <w:rPr/>
              <w:t>​</w:t>
            </w:r>
          </w:p>
        </w:tc>
        <w:tc>
          <w:tcPr>
            <w:tcW w:w="2927" w:type="dxa"/>
            <w:tcBorders/>
            <w:vAlign w:val="center"/>
          </w:tcPr>
          <w:p>
            <w:pPr>
              <w:pStyle w:val="TableContents"/>
              <w:bidi w:val="0"/>
              <w:spacing w:before="0" w:after="0"/>
              <w:ind w:left="0" w:right="0" w:hanging="0"/>
              <w:jc w:val="left"/>
              <w:rPr/>
            </w:pPr>
            <w:r>
              <w:rPr/>
              <w:t>​</w:t>
            </w:r>
          </w:p>
        </w:tc>
      </w:tr>
    </w:tbl>
    <w:tbl>
      <w:tblPr>
        <w:tblW w:w="7472" w:type="dxa"/>
        <w:jc w:val="left"/>
        <w:tblInd w:w="0" w:type="dxa"/>
        <w:tblLayout w:type="fixed"/>
        <w:tblCellMar>
          <w:top w:w="0" w:type="dxa"/>
          <w:left w:w="0" w:type="dxa"/>
          <w:bottom w:w="0" w:type="dxa"/>
          <w:right w:w="0" w:type="dxa"/>
        </w:tblCellMar>
      </w:tblPr>
      <w:tblGrid>
        <w:gridCol w:w="346"/>
        <w:gridCol w:w="71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other than through a publicly announced plan or program.</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2023, our Board of Directors authorized a stock repurchase program that provides for the repurchase of up to $80 million of our common stock, including any applicable excise tax. On December 7, 2023, our Board of Directors authorized an amendment to the above program to increase the authorized amount of repurchases to an aggregate amount not to exceed $250 million. The $250 million authorization amended the previous repurchase authorization, and includes the amount that remains available as of December 7, 2023 to repurchase common stock under, but not any prior repurchases effected pursuant to, the previous authorization, and any applicable excise tax. The amended authorization expires on December 31, 2025. These share repurchases may take place from time to time, in the open market, through privately negotiated transactions or other means, including in accordance with Rule 10b-18 and/or Rule 10b5-1 of the Securities Exchange Act of 1934. The timing and total amount of repurchases is subject to the Company’s discretion.</w:t>
            </w:r>
          </w:p>
        </w:tc>
      </w:tr>
    </w:tbl>
    <w:p>
      <w:pPr>
        <w:pStyle w:val="TextBody"/>
        <w:bidi w:val="0"/>
        <w:spacing w:before="0" w:after="200"/>
        <w:ind w:left="0" w:right="0" w:hanging="0"/>
        <w:jc w:val="left"/>
        <w:rPr>
          <w:rFonts w:ascii="Times New Roman;Times;serif" w:hAnsi="Times New Roman;Times;serif"/>
          <w:b/>
          <w:sz w:val="20"/>
        </w:rPr>
      </w:pPr>
      <w:bookmarkStart w:id="1330" w:name="ITEM3DEFAULTSUPONSENIORSECURITIES_170380"/>
      <w:bookmarkStart w:id="1331" w:name="_c3b421d2_8562_4a6f_ac95_41471885bd23"/>
      <w:bookmarkEnd w:id="1330"/>
      <w:bookmarkEnd w:id="1331"/>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332" w:name="ITEM4MINESAFETYDISCLOSURES_320077"/>
      <w:bookmarkStart w:id="1333" w:name="_cbf83841_73ef_40e1_b4fd_1a2fa4d066f9"/>
      <w:bookmarkEnd w:id="1332"/>
      <w:bookmarkEnd w:id="1333"/>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1334" w:name="ITEM5OTHERINFORMATION_996230"/>
      <w:bookmarkStart w:id="1335" w:name="_ec9eea85_3036_4173_a1da_d5ad432679b4"/>
      <w:bookmarkEnd w:id="1334"/>
      <w:bookmarkEnd w:id="1335"/>
      <w:r>
        <w:rPr>
          <w:rFonts w:ascii="Times New Roman;Times;serif" w:hAnsi="Times New Roman;Times;serif"/>
          <w:b/>
          <w:sz w:val="20"/>
        </w:rPr>
        <w:t>ITEM 5. OTHER INFORMATION</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Rule 10b5-1 and Non-Rule 10b5-1 Trading Arrangements</w:t>
      </w:r>
    </w:p>
    <w:p>
      <w:pPr>
        <w:pStyle w:val="TextBody"/>
        <w:bidi w:val="0"/>
        <w:spacing w:before="0" w:after="240"/>
        <w:ind w:left="0" w:right="0" w:firstLine="360"/>
        <w:jc w:val="left"/>
        <w:rPr>
          <w:rFonts w:ascii="Times New Roman;Times;serif" w:hAnsi="Times New Roman;Times;serif"/>
          <w:sz w:val="20"/>
        </w:rPr>
      </w:pPr>
      <w:bookmarkStart w:id="1336" w:name="Tc_egP2DxinVUals6vlnjVjXQ_3_0"/>
      <w:bookmarkStart w:id="1337" w:name="Tc_7M3NmmWfKUKPNIsxer842w_2_6"/>
      <w:bookmarkStart w:id="1338" w:name="Tc_yLasI1lFe0ut_dDvxoET9w_2_5"/>
      <w:bookmarkStart w:id="1339" w:name="Tc_YnK24hD8BkWYIQku66DTwg_2_4"/>
      <w:bookmarkStart w:id="1340" w:name="Tc_wBAYRUkMYEOq4K4Rh_mAYQ_2_3"/>
      <w:bookmarkStart w:id="1341" w:name="Tc_tncQovRmpUeFNz0fId4d4A_2_2"/>
      <w:bookmarkStart w:id="1342" w:name="Tc_dVvxFv52HEeKof3uHxdfEg_2_1"/>
      <w:bookmarkStart w:id="1343" w:name="Tc_DqHZTSQdqkGFRTEduI0iiw_1_3"/>
      <w:bookmarkStart w:id="1344" w:name="_5557e850_1758_41cb_93f8_37b286ba91f4"/>
      <w:bookmarkEnd w:id="1336"/>
      <w:bookmarkEnd w:id="1337"/>
      <w:bookmarkEnd w:id="1338"/>
      <w:bookmarkEnd w:id="1339"/>
      <w:bookmarkEnd w:id="1340"/>
      <w:bookmarkEnd w:id="1341"/>
      <w:bookmarkEnd w:id="1342"/>
      <w:bookmarkEnd w:id="1343"/>
      <w:bookmarkEnd w:id="1344"/>
      <w:r>
        <w:rPr>
          <w:rFonts w:ascii="Times New Roman;Times;serif" w:hAnsi="Times New Roman;Times;serif"/>
          <w:sz w:val="20"/>
        </w:rPr>
        <w:t>During the three months ended March 31, 2025, the following director took the following actions with respect to trading arrangements for the sale of shares of our common stock:</w:t>
      </w:r>
    </w:p>
    <w:tbl>
      <w:tblPr>
        <w:tblW w:w="10205" w:type="dxa"/>
        <w:jc w:val="left"/>
        <w:tblInd w:w="0" w:type="dxa"/>
        <w:tblLayout w:type="fixed"/>
        <w:tblCellMar>
          <w:top w:w="0" w:type="dxa"/>
          <w:left w:w="0" w:type="dxa"/>
          <w:bottom w:w="0" w:type="dxa"/>
          <w:right w:w="0" w:type="dxa"/>
        </w:tblCellMar>
      </w:tblPr>
      <w:tblGrid>
        <w:gridCol w:w="1567"/>
        <w:gridCol w:w="886"/>
        <w:gridCol w:w="1193"/>
        <w:gridCol w:w="1135"/>
        <w:gridCol w:w="1616"/>
        <w:gridCol w:w="2183"/>
        <w:gridCol w:w="1625"/>
      </w:tblGrid>
      <w:tr>
        <w:trPr/>
        <w:tc>
          <w:tcPr>
            <w:tcW w:w="1567"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left"/>
              <w:rPr/>
            </w:pPr>
            <w:r>
              <w:rPr/>
              <w:t>​</w:t>
            </w:r>
          </w:p>
        </w:tc>
        <w:tc>
          <w:tcPr>
            <w:tcW w:w="1616" w:type="dxa"/>
            <w:tcBorders/>
            <w:vAlign w:val="center"/>
          </w:tcPr>
          <w:p>
            <w:pPr>
              <w:pStyle w:val="TableContents"/>
              <w:bidi w:val="0"/>
              <w:spacing w:before="0" w:after="0"/>
              <w:ind w:left="0" w:right="0" w:hanging="0"/>
              <w:jc w:val="left"/>
              <w:rPr/>
            </w:pPr>
            <w:r>
              <w:rPr/>
              <w:t>​</w:t>
            </w:r>
          </w:p>
        </w:tc>
        <w:tc>
          <w:tcPr>
            <w:tcW w:w="2183"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left"/>
              <w:rPr/>
            </w:pPr>
            <w:r>
              <w:rPr/>
              <w:t>​</w:t>
            </w:r>
          </w:p>
        </w:tc>
      </w:tr>
      <w:tr>
        <w:trPr/>
        <w:tc>
          <w:tcPr>
            <w:tcW w:w="1567"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193" w:type="dxa"/>
            <w:tcBorders/>
            <w:vAlign w:val="center"/>
          </w:tcPr>
          <w:p>
            <w:pPr>
              <w:pStyle w:val="TableContents"/>
              <w:bidi w:val="0"/>
              <w:spacing w:before="0" w:after="0"/>
              <w:ind w:left="0" w:right="0" w:hanging="0"/>
              <w:jc w:val="center"/>
              <w:rPr/>
            </w:pPr>
            <w:r>
              <w:rPr/>
              <w:t>​</w:t>
            </w:r>
          </w:p>
        </w:tc>
        <w:tc>
          <w:tcPr>
            <w:tcW w:w="275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Plans</w:t>
            </w:r>
          </w:p>
        </w:tc>
        <w:tc>
          <w:tcPr>
            <w:tcW w:w="2183" w:type="dxa"/>
            <w:tcBorders/>
            <w:vAlign w:val="center"/>
          </w:tcPr>
          <w:p>
            <w:pPr>
              <w:pStyle w:val="TableContents"/>
              <w:bidi w:val="0"/>
              <w:spacing w:before="0" w:after="0"/>
              <w:ind w:left="0" w:right="0" w:hanging="0"/>
              <w:jc w:val="center"/>
              <w:rPr/>
            </w:pPr>
            <w:r>
              <w:rPr/>
              <w:t>​</w:t>
            </w:r>
          </w:p>
        </w:tc>
        <w:tc>
          <w:tcPr>
            <w:tcW w:w="1625" w:type="dxa"/>
            <w:tcBorders/>
            <w:vAlign w:val="center"/>
          </w:tcPr>
          <w:p>
            <w:pPr>
              <w:pStyle w:val="TableContents"/>
              <w:bidi w:val="0"/>
              <w:spacing w:before="0" w:after="0"/>
              <w:ind w:left="0" w:right="0" w:hanging="0"/>
              <w:jc w:val="center"/>
              <w:rPr/>
            </w:pPr>
            <w:r>
              <w:rPr/>
              <w:t>​</w:t>
            </w:r>
          </w:p>
        </w:tc>
      </w:tr>
      <w:tr>
        <w:trPr/>
        <w:tc>
          <w:tcPr>
            <w:tcW w:w="1567"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Action</w:t>
            </w:r>
          </w:p>
        </w:tc>
        <w:tc>
          <w:tcPr>
            <w:tcW w:w="11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w:t>
            </w:r>
          </w:p>
        </w:tc>
        <w:tc>
          <w:tcPr>
            <w:tcW w:w="11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Rule 10b5-1*</w:t>
            </w:r>
          </w:p>
        </w:tc>
        <w:tc>
          <w:tcPr>
            <w:tcW w:w="1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Non-Rule 10b5-1**</w:t>
            </w:r>
          </w:p>
        </w:tc>
        <w:tc>
          <w:tcPr>
            <w:tcW w:w="21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 to be Sold</w:t>
            </w:r>
          </w:p>
        </w:tc>
        <w:tc>
          <w:tcPr>
            <w:tcW w:w="16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Expiration</w:t>
            </w:r>
          </w:p>
        </w:tc>
      </w:tr>
      <w:tr>
        <w:trPr/>
        <w:tc>
          <w:tcPr>
            <w:tcW w:w="15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Galit, Director</w:t>
            </w:r>
          </w:p>
        </w:tc>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March 4, 2025</w:t>
            </w:r>
          </w:p>
        </w:tc>
        <w:tc>
          <w:tcPr>
            <w:tcW w:w="11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616" w:type="dxa"/>
            <w:tcBorders/>
            <w:shd w:fill="CCEEFF" w:val="clear"/>
            <w:vAlign w:val="center"/>
          </w:tcPr>
          <w:p>
            <w:pPr>
              <w:pStyle w:val="TableContents"/>
              <w:bidi w:val="0"/>
              <w:spacing w:before="0" w:after="0"/>
              <w:ind w:left="0" w:right="0" w:hanging="0"/>
              <w:jc w:val="left"/>
              <w:rPr/>
            </w:pPr>
            <w:r>
              <w:rPr/>
              <w:t>​</w:t>
            </w:r>
          </w:p>
        </w:tc>
        <w:tc>
          <w:tcPr>
            <w:tcW w:w="218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1,225,462</w:t>
            </w:r>
          </w:p>
        </w:tc>
        <w:tc>
          <w:tcPr>
            <w:tcW w:w="162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bl>
    <w:tbl>
      <w:tblPr>
        <w:tblW w:w="6167" w:type="dxa"/>
        <w:jc w:val="left"/>
        <w:tblInd w:w="0" w:type="dxa"/>
        <w:tblLayout w:type="fixed"/>
        <w:tblCellMar>
          <w:top w:w="0" w:type="dxa"/>
          <w:left w:w="0" w:type="dxa"/>
          <w:bottom w:w="0" w:type="dxa"/>
          <w:right w:w="0" w:type="dxa"/>
        </w:tblCellMar>
      </w:tblPr>
      <w:tblGrid>
        <w:gridCol w:w="226"/>
        <w:gridCol w:w="594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Intended to satisfy the affirmative defense conditions of Rule 10b5-1(c)</w:t>
            </w:r>
          </w:p>
        </w:tc>
      </w:tr>
    </w:tbl>
    <w:tbl>
      <w:tblPr>
        <w:tblW w:w="6617" w:type="dxa"/>
        <w:jc w:val="left"/>
        <w:tblInd w:w="0" w:type="dxa"/>
        <w:tblLayout w:type="fixed"/>
        <w:tblCellMar>
          <w:top w:w="0" w:type="dxa"/>
          <w:left w:w="0" w:type="dxa"/>
          <w:bottom w:w="0" w:type="dxa"/>
          <w:right w:w="0" w:type="dxa"/>
        </w:tblCellMar>
      </w:tblPr>
      <w:tblGrid>
        <w:gridCol w:w="331"/>
        <w:gridCol w:w="628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 intended to satisfy the affirmative defense conditions of Rule 10b5-1(c)</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45" w:name="ITEM6EXHIBITS_515975"/>
      <w:bookmarkStart w:id="1346" w:name="_331abdbd_56ec_4043_81f5_f68f24c4d471"/>
      <w:bookmarkEnd w:id="1345"/>
      <w:bookmarkEnd w:id="1346"/>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30" w:type="dxa"/>
          <w:right w:w="0" w:type="dxa"/>
        </w:tblCellMar>
      </w:tblPr>
      <w:tblGrid>
        <w:gridCol w:w="836"/>
        <w:gridCol w:w="146"/>
        <w:gridCol w:w="9223"/>
      </w:tblGrid>
      <w:tr>
        <w:trPr/>
        <w:tc>
          <w:tcPr>
            <w:tcW w:w="836" w:type="dxa"/>
            <w:tcBorders>
              <w:bottom w:val="single" w:sz="12" w:space="0" w:color="000000"/>
            </w:tcBorders>
            <w:vAlign w:val="center"/>
          </w:tcPr>
          <w:p>
            <w:pPr>
              <w:pStyle w:val="TableContents"/>
              <w:bidi w:val="0"/>
              <w:spacing w:lineRule="atLeast" w:line="200"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bottom w:val="single" w:sz="12" w:space="0" w:color="000000"/>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50331xex31d1.htm">
              <w:r>
                <w:rPr>
                  <w:rStyle w:val="InternetLink"/>
                  <w:rFonts w:ascii="Times New Roman;Times;serif" w:hAnsi="Times New Roman;Times;serif"/>
                  <w:b w:val="false"/>
                  <w:i w:val="false"/>
                  <w:caps w:val="false"/>
                  <w:smallCaps w:val="false"/>
                  <w:sz w:val="20"/>
                </w:rPr>
                <w:t>Certification of Chief Executive Officer pursuant to Rules 13a-14 and 15d-14 promulgated under the Securities Exchange Act of 1934.*</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50331xex31d2.htm">
              <w:r>
                <w:rPr>
                  <w:rStyle w:val="InternetLink"/>
                  <w:rFonts w:ascii="Times New Roman;Times;serif" w:hAnsi="Times New Roman;Times;serif"/>
                  <w:b w:val="false"/>
                  <w:i w:val="false"/>
                  <w:caps w:val="false"/>
                  <w:smallCaps w:val="false"/>
                  <w:sz w:val="20"/>
                </w:rPr>
                <w:t>Certification of Chief Financial Officer pursuant to Rules 13a-14 and 15d-14 promulgated under the Securities Exchange Act of 1934.*</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5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5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both"/>
              <w:rPr/>
            </w:pPr>
            <w:r>
              <w:rPr/>
              <w:t>†</w:t>
            </w:r>
          </w:p>
        </w:tc>
        <w:tc>
          <w:tcPr>
            <w:tcW w:w="9964"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Schedules have been omitted pursuant to Item 601(a)(5) of Regulation S-K. The registrant hereby undertakes to furnish copies of any of the omitted schedules upon request by the Securities and Exchange Commission.</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347" w:name="Signatures"/>
      <w:bookmarkStart w:id="1348" w:name="_22ff96bb_13c6_4ed0_a8ea_9453302bf1d5"/>
      <w:bookmarkEnd w:id="1347"/>
      <w:bookmarkEnd w:id="1348"/>
      <w:r>
        <w:rPr>
          <w:rFonts w:ascii="Times New Roman;Times;serif" w:hAnsi="Times New Roman;Times;serif"/>
          <w:b/>
          <w:sz w:val="20"/>
        </w:rPr>
        <w:t>SIGNATURES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2674" w:type="dxa"/>
        <w:jc w:val="left"/>
        <w:tblInd w:w="0" w:type="dxa"/>
        <w:tblLayout w:type="fixed"/>
        <w:tblCellMar>
          <w:top w:w="0" w:type="dxa"/>
          <w:left w:w="0" w:type="dxa"/>
          <w:bottom w:w="0" w:type="dxa"/>
          <w:right w:w="0" w:type="dxa"/>
        </w:tblCellMar>
      </w:tblPr>
      <w:tblGrid>
        <w:gridCol w:w="584"/>
        <w:gridCol w:w="1936"/>
        <w:gridCol w:w="154"/>
      </w:tblGrid>
      <w:tr>
        <w:trPr/>
        <w:tc>
          <w:tcPr>
            <w:tcW w:w="584" w:type="dxa"/>
            <w:tcBorders/>
            <w:vAlign w:val="center"/>
          </w:tcPr>
          <w:p>
            <w:pPr>
              <w:pStyle w:val="TableContents"/>
              <w:bidi w:val="0"/>
              <w:spacing w:before="0" w:after="283"/>
              <w:ind w:left="0" w:right="0" w:hanging="0"/>
              <w:jc w:val="left"/>
              <w:rPr>
                <w:sz w:val="4"/>
                <w:szCs w:val="4"/>
              </w:rPr>
            </w:pPr>
            <w:r>
              <w:rPr>
                <w:sz w:val="4"/>
                <w:szCs w:val="4"/>
              </w:rPr>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29360" cy="29210"/>
                      <wp:effectExtent l="0" t="0" r="0" b="0"/>
                      <wp:wrapNone/>
                      <wp:docPr id="296" name="Frame295"/>
                      <a:graphic xmlns:a="http://schemas.openxmlformats.org/drawingml/2006/main">
                        <a:graphicData uri="http://schemas.microsoft.com/office/word/2010/wordprocessingShape">
                          <wps:wsp>
                            <wps:cNvSpPr txBox="1"/>
                            <wps:spPr>
                              <a:xfrm>
                                <a:off x="0" y="0"/>
                                <a:ext cx="1229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7790" cy="175260"/>
                      <wp:effectExtent l="0" t="0" r="0" b="0"/>
                      <wp:wrapNone/>
                      <wp:docPr id="297" name="Frame29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PAYONEER GLOBAL INC.</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Caplan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Caplan</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Bea Ordonez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r>
        <w:trPr/>
        <w:tc>
          <w:tcPr>
            <w:tcW w:w="584"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right"/>
        <w:rPr>
          <w:rFonts w:ascii="Times New Roman;Times;serif" w:hAnsi="Times New Roman;Times;serif"/>
          <w:b/>
          <w:sz w:val="20"/>
        </w:rPr>
      </w:pPr>
      <w:bookmarkStart w:id="1349" w:name="payo-20250331xex31d1.htm"/>
      <w:bookmarkStart w:id="1350" w:name="kspayo20250331xex31d1"/>
      <w:bookmarkEnd w:id="1349"/>
      <w:bookmarkEnd w:id="1350"/>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 AND 15D-14(A) UNDER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 AS ADOPTED PURSUANT TO SECTION 302 OF THE SARBANES-OXLEY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Caplan, certify that:</w:t>
      </w:r>
    </w:p>
    <w:p>
      <w:pPr>
        <w:pStyle w:val="TextBody"/>
        <w:bidi w:val="0"/>
        <w:spacing w:before="0" w:after="0"/>
        <w:ind w:left="0" w:right="0" w:hanging="0"/>
        <w:jc w:val="left"/>
        <w:rPr/>
      </w:pPr>
      <w:r>
        <w:rPr/>
        <w:t>​</w:t>
      </w:r>
    </w:p>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Payoneer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7, 2025</w:t>
      </w:r>
    </w:p>
    <w:tbl>
      <w:tblPr>
        <w:tblW w:w="3152" w:type="dxa"/>
        <w:jc w:val="center"/>
        <w:tblInd w:w="0" w:type="dxa"/>
        <w:tblLayout w:type="fixed"/>
        <w:tblCellMar>
          <w:top w:w="0" w:type="dxa"/>
          <w:left w:w="0" w:type="dxa"/>
          <w:bottom w:w="0" w:type="dxa"/>
          <w:right w:w="0" w:type="dxa"/>
        </w:tblCellMar>
      </w:tblPr>
      <w:tblGrid>
        <w:gridCol w:w="124"/>
        <w:gridCol w:w="326"/>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Caplan</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Caplan</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51" w:name="payo-20250331xex31d2.htm"/>
      <w:bookmarkStart w:id="1352" w:name="kspayo20250331xex31d2"/>
      <w:bookmarkEnd w:id="1351"/>
      <w:bookmarkEnd w:id="1352"/>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 AND 15D-14(A) UNDER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 AS ADOPTED PURSUANT TO SECTION 302 OF THE SARBANES-OXLEY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Bea Ordonez, certify that:</w:t>
      </w:r>
    </w:p>
    <w:p>
      <w:pPr>
        <w:pStyle w:val="TextBody"/>
        <w:bidi w:val="0"/>
        <w:spacing w:before="0" w:after="0"/>
        <w:ind w:left="0" w:right="0" w:hanging="0"/>
        <w:jc w:val="left"/>
        <w:rPr/>
      </w:pPr>
      <w:r>
        <w:rPr/>
        <w:t>​</w:t>
      </w:r>
    </w:p>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Payoneer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7, 2025</w:t>
      </w:r>
    </w:p>
    <w:p>
      <w:pPr>
        <w:pStyle w:val="TextBody"/>
        <w:bidi w:val="0"/>
        <w:spacing w:before="0" w:after="240"/>
        <w:ind w:left="0" w:right="0" w:hanging="0"/>
        <w:jc w:val="left"/>
        <w:rPr/>
      </w:pPr>
      <w:r>
        <w:rPr/>
        <w:t>​</w:t>
      </w:r>
    </w:p>
    <w:tbl>
      <w:tblPr>
        <w:tblW w:w="3092" w:type="dxa"/>
        <w:jc w:val="center"/>
        <w:tblInd w:w="0" w:type="dxa"/>
        <w:tblLayout w:type="fixed"/>
        <w:tblCellMar>
          <w:top w:w="0" w:type="dxa"/>
          <w:left w:w="0" w:type="dxa"/>
          <w:bottom w:w="0" w:type="dxa"/>
          <w:right w:w="0" w:type="dxa"/>
        </w:tblCellMar>
      </w:tblPr>
      <w:tblGrid>
        <w:gridCol w:w="124"/>
        <w:gridCol w:w="326"/>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53" w:name="payo-20250331xex32d1.htm"/>
      <w:bookmarkStart w:id="1354" w:name="kspayo20250331xex32d1"/>
      <w:bookmarkEnd w:id="1353"/>
      <w:bookmarkEnd w:id="1354"/>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 SECTION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Payoneer Global Inc. (the “Company”) on Form 10-Q for the period ending March 31, 2025, as filed with the Securities and Exchange Commission on the date hereof (the “Report”), I, John Caplan, Chief Executive Officer of the Company,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May 7, 2025</w:t>
      </w:r>
    </w:p>
    <w:tbl>
      <w:tblPr>
        <w:tblW w:w="3261" w:type="dxa"/>
        <w:jc w:val="center"/>
        <w:tblInd w:w="0" w:type="dxa"/>
        <w:tblLayout w:type="fixed"/>
        <w:tblCellMar>
          <w:top w:w="0" w:type="dxa"/>
          <w:left w:w="0" w:type="dxa"/>
          <w:bottom w:w="0" w:type="dxa"/>
          <w:right w:w="0" w:type="dxa"/>
        </w:tblCellMar>
      </w:tblPr>
      <w:tblGrid>
        <w:gridCol w:w="124"/>
        <w:gridCol w:w="326"/>
        <w:gridCol w:w="631"/>
        <w:gridCol w:w="2026"/>
        <w:gridCol w:w="154"/>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Caplan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Caplan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55" w:name="payo-20250331xex32d2.htm"/>
      <w:bookmarkStart w:id="1356" w:name="kspayo20250331xex32d2"/>
      <w:bookmarkEnd w:id="1355"/>
      <w:bookmarkEnd w:id="1356"/>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 SECTION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Payoneer Global Inc. (the “Company”) on Form 10-Q for the period ending March 31, 2025, as filed with the Securities and Exchange Commission on the date hereof (the “Report”), I, Bea Ordonez, Chief Financial Officer of the Company,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7, 2025</w:t>
      </w:r>
    </w:p>
    <w:p>
      <w:pPr>
        <w:pStyle w:val="TextBody"/>
        <w:bidi w:val="0"/>
        <w:spacing w:before="0" w:after="0"/>
        <w:ind w:left="0" w:right="0" w:hanging="0"/>
        <w:jc w:val="left"/>
        <w:rPr/>
      </w:pPr>
      <w:r>
        <w:rPr/>
        <w:t>​</w:t>
      </w:r>
    </w:p>
    <w:tbl>
      <w:tblPr>
        <w:tblW w:w="3092" w:type="dxa"/>
        <w:jc w:val="center"/>
        <w:tblInd w:w="0" w:type="dxa"/>
        <w:tblLayout w:type="fixed"/>
        <w:tblCellMar>
          <w:top w:w="0" w:type="dxa"/>
          <w:left w:w="0" w:type="dxa"/>
          <w:bottom w:w="0" w:type="dxa"/>
          <w:right w:w="0" w:type="dxa"/>
        </w:tblCellMar>
      </w:tblPr>
      <w:tblGrid>
        <w:gridCol w:w="124"/>
        <w:gridCol w:w="326"/>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17282</Words>
  <Characters>97353</Characters>
  <CharactersWithSpaces>115577</CharactersWithSpaces>
  <Paragraphs>5102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