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Tsafi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780" w:firstLine="7"/>
        <w:spacing w:after="0" w:line="340" w:lineRule="auto"/>
        <w:tabs>
          <w:tab w:leader="none" w:pos="42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BROADWAY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Payoneer Global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Governance Ofcr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644,339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solely to cover the Reporting Person's tax obligation arising from the settlement of vested restricted stock units and does not represent an open market sale.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Anna Bochkareva,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Tsafi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Goldman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9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9514" TargetMode="External"/><Relationship Id="rId14" Type="http://schemas.openxmlformats.org/officeDocument/2006/relationships/hyperlink" Target="http://www.sec.gov/cgi-bin/browse-edgar?action=getcompany&amp;CIK=0001845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2026-02-20T14:57:37Z</dcterms:created>
  <dcterms:modified xsi:type="dcterms:W3CDTF">2026-02-20T14:57:37Z</dcterms:modified>
</cp:coreProperties>
</file>