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Ordonez Beatrice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Payoneer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PAYO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60,485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7.09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2,826,781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solely to cover the Reporting Person's tax obligation arising from the settlement of vested restricted stock units and does not represent an open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Morais, attorney-in-fact for Beatrice Ordonez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2088" TargetMode="External"/><Relationship Id="rId5" Type="http://schemas.openxmlformats.org/officeDocument/2006/relationships/hyperlink" Target="http://www.sec.gov/cgi-bin/browse-edgar?action=getcompany&amp;CIK=00018458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3234</Characters>
  <CharactersWithSpaces>3767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