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Fridman Michal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03/30/2026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Payoneer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PAYO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2697" w:hanging="5"/>
        <w:spacing w:after="0" w:line="402" w:lineRule="auto"/>
        <w:tabs>
          <w:tab w:leader="none" w:pos="481"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BROADWAY 27TH FLOOR</w:t>
      </w:r>
    </w:p>
    <w:p>
      <w:pPr>
        <w:spacing w:after="0" w:line="16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10007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SVP Finance</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20"/>
                <w:szCs w:val="20"/>
                <w:color w:val="0000FF"/>
              </w:rPr>
              <w:t>203,615</w:t>
            </w:r>
            <w:r>
              <w:rPr>
                <w:rFonts w:ascii="Times New Roman" w:cs="Times New Roman" w:eastAsia="Times New Roman" w:hAnsi="Times New Roman"/>
                <w:sz w:val="25"/>
                <w:szCs w:val="25"/>
                <w:color w:val="008000"/>
                <w:vertAlign w:val="superscript"/>
              </w:rPr>
              <w:t>(1)</w:t>
            </w:r>
          </w:p>
        </w:tc>
        <w:tc>
          <w:tcPr>
            <w:tcW w:w="1020" w:type="dxa"/>
            <w:vAlign w:val="bottom"/>
            <w:tcBorders>
              <w:bottom w:val="single" w:sz="8" w:color="2C2C2C"/>
            </w:tcBorders>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00" w:firstLine="5"/>
        <w:spacing w:after="0" w:line="244"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shares of Common Stock as well as shares of Common Stock underlying restricted stock units ("RSUs") subject to time-based vesting. One-fourth of these RSUs will vest or has already vested, as the case may be, on the first anniversary of the grant date or such other shorter approved period after the grant date as applicable, and the remainder vests ratably in approximately 1/16 installments on a quarterly basis, provided that the Reporting Person remains in continuous service on each applicable vesting date.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List -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Michal Fridman</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03/31/2026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Shlomi Zerahia, Ben Ozeri, Anna Bochkareva, Eric Morais and Gal Sagi as the undersigned’s true and lawful attorneys-in-fact to:</w:t>
      </w:r>
    </w:p>
    <w:p>
      <w:pPr>
        <w:spacing w:after="0" w:line="180" w:lineRule="exact"/>
        <w:rPr>
          <w:sz w:val="20"/>
          <w:szCs w:val="20"/>
          <w:color w:val="auto"/>
        </w:rPr>
      </w:pPr>
    </w:p>
    <w:p>
      <w:pPr>
        <w:jc w:val="both"/>
        <w:ind w:right="360"/>
        <w:spacing w:after="0" w:line="266" w:lineRule="auto"/>
        <w:tabs>
          <w:tab w:leader="none" w:pos="3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 reporting person pursuant to Section 16 of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and the rules thereunder of Payoneer Global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Forms 3, 4 and 5, including any amendments thereto, in accordance with Section 16(a) of the Exchange Act;</w:t>
      </w:r>
    </w:p>
    <w:p>
      <w:pPr>
        <w:spacing w:after="0" w:line="195" w:lineRule="exact"/>
        <w:rPr>
          <w:rFonts w:ascii="Times New Roman" w:cs="Times New Roman" w:eastAsia="Times New Roman" w:hAnsi="Times New Roman"/>
          <w:sz w:val="20"/>
          <w:szCs w:val="20"/>
          <w:color w:val="auto"/>
        </w:rPr>
      </w:pPr>
    </w:p>
    <w:p>
      <w:pPr>
        <w:jc w:val="both"/>
        <w:ind w:right="360"/>
        <w:spacing w:after="0" w:line="266" w:lineRule="auto"/>
        <w:tabs>
          <w:tab w:leader="none" w:pos="37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the applicable stock exchange or similar authority; and</w:t>
      </w:r>
    </w:p>
    <w:p>
      <w:pPr>
        <w:spacing w:after="0" w:line="195" w:lineRule="exact"/>
        <w:rPr>
          <w:rFonts w:ascii="Times New Roman" w:cs="Times New Roman" w:eastAsia="Times New Roman" w:hAnsi="Times New Roman"/>
          <w:sz w:val="20"/>
          <w:szCs w:val="20"/>
          <w:color w:val="auto"/>
        </w:rPr>
      </w:pPr>
    </w:p>
    <w:p>
      <w:pPr>
        <w:jc w:val="both"/>
        <w:ind w:right="360"/>
        <w:spacing w:after="0" w:line="258" w:lineRule="auto"/>
        <w:tabs>
          <w:tab w:leader="none" w:pos="333"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jc w:val="both"/>
        <w:ind w:right="360"/>
        <w:spacing w:after="0" w:line="25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releases the foregoing attorneys-in-fact from any and all liability with respect to any documents prepared, executed or filed by any of the attorneys-in-fact on behalf of the undersigned pursuant to this Power of Attorney, including the content or timeliness of such filing, and irrevocably waives any claim he or she may have against such attorneys-in-fact and the Company with respect to the foregoing. The undersigned undertakes to fully cooperate with such attorneys-in-fact and to timely provide full and accurate information, as applicable and as necessary, with respect to all such documents executed by any of the attorneys-in-fact on behalf of the undersigned pursuant to this Power of Attorney.</w:t>
      </w:r>
    </w:p>
    <w:p>
      <w:pPr>
        <w:spacing w:after="0" w:line="210" w:lineRule="exact"/>
        <w:rPr>
          <w:sz w:val="20"/>
          <w:szCs w:val="20"/>
          <w:color w:val="auto"/>
        </w:rPr>
      </w:pPr>
    </w:p>
    <w:p>
      <w:pPr>
        <w:jc w:val="both"/>
        <w:ind w:right="340"/>
        <w:spacing w:after="0" w:line="282" w:lineRule="auto"/>
        <w:rPr>
          <w:sz w:val="20"/>
          <w:szCs w:val="20"/>
          <w:color w:val="auto"/>
        </w:rPr>
      </w:pPr>
      <w:r>
        <w:rPr>
          <w:rFonts w:ascii="Times New Roman" w:cs="Times New Roman" w:eastAsia="Times New Roman" w:hAnsi="Times New Roman"/>
          <w:sz w:val="20"/>
          <w:szCs w:val="20"/>
          <w:color w:val="auto"/>
        </w:rPr>
        <w:t>This Power of Attorney supersedes any power of attorney previously executed by the undersigned regarding the purposes outlined herein, and the authority of the attorneys-in-fact named in any such prior power of attorney is hereby revoked.</w:t>
      </w:r>
    </w:p>
    <w:p>
      <w:pPr>
        <w:spacing w:after="0" w:line="180" w:lineRule="exact"/>
        <w:rPr>
          <w:sz w:val="20"/>
          <w:szCs w:val="20"/>
          <w:color w:val="auto"/>
        </w:rPr>
      </w:pPr>
    </w:p>
    <w:p>
      <w:pPr>
        <w:jc w:val="both"/>
        <w:ind w:right="360"/>
        <w:spacing w:after="0" w:line="25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(i) revoked by the undersigned or any of the foregoing attorneys-in-fact (with respect to such attorney-in-fact) in a signed writing delivered to the other party (ii) expired with respect to any individual attorney-in-fact if such attorney-in-fact ceased to be an employee of the Company, or (iii) superseded by a new power of attorney regarding the purposes outlined herein dated as of a later date.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March 24, 2026.</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/s/ Michal Fridman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Michal Fridman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8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95"/>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21474" TargetMode="External"/><Relationship Id="rId11" Type="http://schemas.openxmlformats.org/officeDocument/2006/relationships/hyperlink" Target="http://www.sec.gov/cgi-bin/browse-edgar?action=getcompany&amp;CIK=00018458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2026-03-31T20:24:30Z</dcterms:created>
  <dcterms:modified xsi:type="dcterms:W3CDTF">2026-03-31T20:24:30Z</dcterms:modified>
</cp:coreProperties>
</file>