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Goldman Tsafi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 BROADWAY, 27TH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Payoneer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PAYO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Governance Ofcr.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970,183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solely to cover the Reporting Person's tax obligation arising from the settlement of vested restricted stock units and does not represent an open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Anna Bochkareva, attorney-in-fact for Tsafi Goldman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514" TargetMode="External"/><Relationship Id="rId5" Type="http://schemas.openxmlformats.org/officeDocument/2006/relationships/hyperlink" Target="http://www.sec.gov/cgi-bin/browse-edgar?action=getcompany&amp;CIK=00018458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3245</Characters>
  <CharactersWithSpaces>3774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