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466090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4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7, 2026</w:t>
      </w:r>
    </w:p>
    <w:p>
      <w:pPr>
        <w:spacing w:after="0" w:line="15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Payoneer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1273810</wp:posOffset>
            </wp:positionH>
            <wp:positionV relativeFrom="paragraph">
              <wp:posOffset>24130</wp:posOffset>
            </wp:positionV>
            <wp:extent cx="32232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3260" cy="17145"/>
                    </a:xfrm>
                    <a:prstGeom prst="rect">
                      <a:avLst/>
                    </a:prstGeom>
                    <a:noFill/>
                  </pic:spPr>
                </pic:pic>
              </a:graphicData>
            </a:graphic>
          </wp:anchor>
        </w:drawing>
      </w:r>
    </w:p>
    <w:p>
      <w:pPr>
        <w:spacing w:after="0" w:line="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5" w:lineRule="exact"/>
        <w:rPr>
          <w:sz w:val="24"/>
          <w:szCs w:val="24"/>
          <w:color w:val="auto"/>
        </w:rPr>
      </w:pPr>
    </w:p>
    <w:tbl>
      <w:tblPr>
        <w:tblLayout w:type="fixed"/>
        <w:tblInd w:w="40" w:type="dxa"/>
        <w:tblCellMar>
          <w:top w:w="0" w:type="dxa"/>
          <w:left w:w="0" w:type="dxa"/>
          <w:bottom w:w="0" w:type="dxa"/>
          <w:right w:w="0" w:type="dxa"/>
        </w:tblCellMar>
      </w:tblPr>
      <w:tr>
        <w:trPr>
          <w:trHeight w:val="245"/>
        </w:trPr>
        <w:tc>
          <w:tcPr>
            <w:tcW w:w="2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001-40547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86-1778671</w:t>
            </w:r>
          </w:p>
        </w:tc>
        <w:tc>
          <w:tcPr>
            <w:tcW w:w="0" w:type="dxa"/>
            <w:vAlign w:val="bottom"/>
          </w:tcPr>
          <w:p>
            <w:pPr>
              <w:spacing w:after="0"/>
              <w:rPr>
                <w:sz w:val="1"/>
                <w:szCs w:val="1"/>
                <w:color w:val="auto"/>
              </w:rPr>
            </w:pPr>
          </w:p>
        </w:tc>
      </w:tr>
      <w:tr>
        <w:trPr>
          <w:trHeight w:val="198"/>
        </w:trPr>
        <w:tc>
          <w:tcPr>
            <w:tcW w:w="28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incorporation)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8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195 Broadway, 27</w:t>
            </w:r>
            <w:r>
              <w:rPr>
                <w:rFonts w:ascii="Times New Roman" w:cs="Times New Roman" w:eastAsia="Times New Roman" w:hAnsi="Times New Roman"/>
                <w:sz w:val="26"/>
                <w:szCs w:val="26"/>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1000" w:type="dxa"/>
            <w:vAlign w:val="bottom"/>
          </w:tcPr>
          <w:p>
            <w:pPr>
              <w:spacing w:after="0"/>
              <w:rPr>
                <w:sz w:val="24"/>
                <w:szCs w:val="24"/>
                <w:color w:val="auto"/>
              </w:rPr>
            </w:pP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960" w:type="dxa"/>
            <w:vAlign w:val="bottom"/>
            <w:gridSpan w:val="2"/>
            <w:vMerge w:val="restart"/>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8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b w:val="1"/>
                <w:bCs w:val="1"/>
                <w:color w:val="auto"/>
              </w:rPr>
              <w:t>10007</w:t>
            </w:r>
          </w:p>
        </w:tc>
        <w:tc>
          <w:tcPr>
            <w:tcW w:w="0" w:type="dxa"/>
            <w:vAlign w:val="bottom"/>
          </w:tcPr>
          <w:p>
            <w:pPr>
              <w:spacing w:after="0"/>
              <w:rPr>
                <w:sz w:val="1"/>
                <w:szCs w:val="1"/>
                <w:color w:val="auto"/>
              </w:rPr>
            </w:pPr>
          </w:p>
        </w:tc>
      </w:tr>
      <w:tr>
        <w:trPr>
          <w:trHeight w:val="115"/>
        </w:trPr>
        <w:tc>
          <w:tcPr>
            <w:tcW w:w="296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2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8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600-9272</w:t>
      </w:r>
    </w:p>
    <w:p>
      <w:pPr>
        <w:spacing w:after="0" w:line="15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1273810</wp:posOffset>
            </wp:positionH>
            <wp:positionV relativeFrom="paragraph">
              <wp:posOffset>19685</wp:posOffset>
            </wp:positionV>
            <wp:extent cx="32232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3260" cy="17145"/>
                    </a:xfrm>
                    <a:prstGeom prst="rect">
                      <a:avLst/>
                    </a:prstGeom>
                    <a:noFill/>
                  </pic:spPr>
                </pic:pic>
              </a:graphicData>
            </a:graphic>
          </wp:anchor>
        </w:drawing>
      </w:r>
    </w:p>
    <w:p>
      <w:pPr>
        <w:spacing w:after="0" w:line="2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1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380" w:hanging="31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380" w:hanging="31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380" w:hanging="31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42"/>
        </w:trPr>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428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Trading Symbol(s)</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432"/>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 w:type="dxa"/>
            <w:vAlign w:val="bottom"/>
          </w:tcPr>
          <w:p>
            <w:pPr>
              <w:spacing w:after="0"/>
              <w:rPr>
                <w:sz w:val="24"/>
                <w:szCs w:val="24"/>
                <w:color w:val="auto"/>
              </w:rPr>
            </w:pPr>
          </w:p>
        </w:tc>
        <w:tc>
          <w:tcPr>
            <w:tcW w:w="17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PAYO</w:t>
            </w:r>
          </w:p>
        </w:tc>
        <w:tc>
          <w:tcPr>
            <w:tcW w:w="180" w:type="dxa"/>
            <w:vAlign w:val="bottom"/>
          </w:tcPr>
          <w:p>
            <w:pPr>
              <w:spacing w:after="0"/>
              <w:rPr>
                <w:sz w:val="24"/>
                <w:szCs w:val="24"/>
                <w:color w:val="auto"/>
              </w:rPr>
            </w:pPr>
          </w:p>
        </w:tc>
        <w:tc>
          <w:tcPr>
            <w:tcW w:w="2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(Sec.230.405 of this chapter) or Rule 12b-2 of the Securities Exchange Act of 1934 (Sec.240.12b-2 of this chapter).</w:t>
      </w:r>
    </w:p>
    <w:p>
      <w:pPr>
        <w:spacing w:after="0" w:line="54"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68580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111125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1" w:name="page2"/>
    <w:bookmarkEnd w:id="1"/>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On May 7, 2026, Payoneer Global Inc. issued a press release announcing its financial results for the fiscal quarter ended March 31, 2026. A copy of the press release is furnished as Exhibit 99.1 to this report.</w:t>
      </w:r>
    </w:p>
    <w:p>
      <w:pPr>
        <w:spacing w:after="0" w:line="16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or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36830</wp:posOffset>
            </wp:positionV>
            <wp:extent cx="56489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Press release, dated May 7, 2026, issued by Payoneer Global Inc.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0000EE"/>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2513"/>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1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39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w w:val="97"/>
              </w:rPr>
              <w:t>PAYONEER GLOBAL INC.</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39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By:/s/ Bea Ordonez</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0</wp:posOffset>
            </wp:positionV>
            <wp:extent cx="2682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ind w:left="4720"/>
        <w:spacing w:after="0"/>
        <w:rPr>
          <w:sz w:val="20"/>
          <w:szCs w:val="20"/>
          <w:color w:val="auto"/>
        </w:rPr>
      </w:pPr>
      <w:r>
        <w:rPr>
          <w:rFonts w:ascii="Times New Roman" w:cs="Times New Roman" w:eastAsia="Times New Roman" w:hAnsi="Times New Roman"/>
          <w:sz w:val="18"/>
          <w:szCs w:val="18"/>
          <w:color w:val="auto"/>
        </w:rPr>
        <w:t>Name: Bea Ordonez</w:t>
      </w:r>
    </w:p>
    <w:p>
      <w:pPr>
        <w:spacing w:after="0" w:line="2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1231900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Payoneer Reports First Quarter 2026 Financial Results</w:t>
      </w:r>
    </w:p>
    <w:p>
      <w:pPr>
        <w:spacing w:after="0" w:line="38"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i w:val="1"/>
          <w:iCs w:val="1"/>
          <w:color w:val="auto"/>
        </w:rPr>
        <w:t>11% increase in revenue ex. interest and strong profitability 44% B2B volume growth reflects acceleration across every major region Increases 2026 guidance</w:t>
      </w:r>
    </w:p>
    <w:p>
      <w:pPr>
        <w:spacing w:after="0" w:line="20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NEW YORK – May 7, 2026 – Payoneer Global Inc. (“Payoneer” or the “Company”) (NASDAQ: PAYO), the global financial technology company powering business growth across borders, today reported financial results for its first quarter ended March 31,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A0A0A"/>
        </w:rPr>
        <w:t>First Quarter 2026 Financial Highlights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in mm unless otherwise noted)</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1Q 2025</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2Q 2025</w:t>
            </w: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3Q 2025</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4Q 2025</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1Q 2026</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YoY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 ex. interest income</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1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Transaction costs as a % of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ex. interest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Operational Metrics</w:t>
            </w:r>
          </w:p>
        </w:tc>
        <w:tc>
          <w:tcPr>
            <w:tcW w:w="2300" w:type="dxa"/>
            <w:vAlign w:val="bottom"/>
            <w:tcBorders>
              <w:bottom w:val="single" w:sz="8" w:color="CCEEFF"/>
            </w:tcBorders>
            <w:gridSpan w:val="2"/>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Volume ($bn)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Average Revenue Per User (ARPU)</w:t>
            </w:r>
            <w:r>
              <w:rPr>
                <w:rFonts w:ascii="Times New Roman" w:cs="Times New Roman" w:eastAsia="Times New Roman" w:hAnsi="Times New Roman"/>
                <w:sz w:val="25"/>
                <w:szCs w:val="25"/>
                <w:color w:val="auto"/>
                <w:vertAlign w:val="superscript"/>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Revenue as a % of volume ("Take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125 bps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126 bps</w:t>
            </w:r>
          </w:p>
        </w:tc>
        <w:tc>
          <w:tcPr>
            <w:tcW w:w="160" w:type="dxa"/>
            <w:vAlign w:val="bottom"/>
          </w:tcPr>
          <w:p>
            <w:pPr>
              <w:spacing w:after="0"/>
              <w:rPr>
                <w:sz w:val="18"/>
                <w:szCs w:val="18"/>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121 bps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111 bps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115 bps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SMB customer take rate</w:t>
            </w:r>
            <w:r>
              <w:rPr>
                <w:rFonts w:ascii="Times New Roman" w:cs="Times New Roman" w:eastAsia="Times New Roman" w:hAnsi="Times New Roman"/>
                <w:sz w:val="25"/>
                <w:szCs w:val="25"/>
                <w:i w:val="1"/>
                <w:iCs w:val="1"/>
                <w:color w:val="auto"/>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119 bps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120 bps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121 bps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113 bps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120 bps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 bp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Please refer to “Additional Information and Definitions” for a description of ARPU.</w:t>
      </w:r>
    </w:p>
    <w:p>
      <w:pPr>
        <w:spacing w:after="0" w:line="28" w:lineRule="exact"/>
        <w:rPr>
          <w:rFonts w:ascii="Times New Roman" w:cs="Times New Roman" w:eastAsia="Times New Roman" w:hAnsi="Times New Roman"/>
          <w:sz w:val="16"/>
          <w:szCs w:val="16"/>
          <w:i w:val="1"/>
          <w:iCs w:val="1"/>
          <w:color w:val="auto"/>
        </w:rPr>
      </w:pPr>
    </w:p>
    <w:p>
      <w:pPr>
        <w:ind w:left="660" w:hanging="328"/>
        <w:spacing w:after="0" w:line="288" w:lineRule="auto"/>
        <w:tabs>
          <w:tab w:leader="none" w:pos="660" w:val="left"/>
        </w:tabs>
        <w:numPr>
          <w:ilvl w:val="0"/>
          <w:numId w:val="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SMB customer take rate represents revenue from SMBs who sell on marketplaces, B2B SMBs, and Checkout (previously known as Merchant Services), divided by the associated volume from each respective channel.</w:t>
      </w:r>
    </w:p>
    <w:p>
      <w:pPr>
        <w:spacing w:after="0" w:line="176" w:lineRule="exact"/>
        <w:rPr>
          <w:sz w:val="20"/>
          <w:szCs w:val="20"/>
          <w:color w:val="auto"/>
        </w:rPr>
      </w:pPr>
    </w:p>
    <w:p>
      <w:pPr>
        <w:ind w:left="340" w:right="200"/>
        <w:spacing w:after="0" w:line="246" w:lineRule="auto"/>
        <w:rPr>
          <w:sz w:val="20"/>
          <w:szCs w:val="20"/>
          <w:color w:val="auto"/>
        </w:rPr>
      </w:pPr>
      <w:r>
        <w:rPr>
          <w:rFonts w:ascii="Times New Roman" w:cs="Times New Roman" w:eastAsia="Times New Roman" w:hAnsi="Times New Roman"/>
          <w:sz w:val="20"/>
          <w:szCs w:val="20"/>
          <w:color w:val="auto"/>
        </w:rPr>
        <w:t>“In Q1 we delivered acceleration across major KPIs: revenue growth ex. interest accelerated to 11%, B2B volume growth more than doubled to 44%, and we delivered another quarter of significant core profitability expansion. We are driving broad-based momentum across our business, supported by differentiated assets that compound as we scale. We have infrastructure built on years of investment and innovation, network effects that strengthen as volumes grow, and platform depth that allows us to meet the needs of how our customers operate globally.</w:t>
      </w:r>
    </w:p>
    <w:p>
      <w:pPr>
        <w:spacing w:after="0" w:line="198" w:lineRule="exact"/>
        <w:rPr>
          <w:sz w:val="20"/>
          <w:szCs w:val="20"/>
          <w:color w:val="auto"/>
        </w:rPr>
      </w:pPr>
    </w:p>
    <w:p>
      <w:pPr>
        <w:ind w:left="340" w:right="240"/>
        <w:spacing w:after="0" w:line="249" w:lineRule="auto"/>
        <w:rPr>
          <w:sz w:val="20"/>
          <w:szCs w:val="20"/>
          <w:color w:val="auto"/>
        </w:rPr>
      </w:pPr>
      <w:r>
        <w:rPr>
          <w:rFonts w:ascii="Times New Roman" w:cs="Times New Roman" w:eastAsia="Times New Roman" w:hAnsi="Times New Roman"/>
          <w:sz w:val="20"/>
          <w:szCs w:val="20"/>
          <w:color w:val="auto"/>
        </w:rPr>
        <w:t>We're a profitable, scaled platform in a multi-trillion-dollar B2B market that's still in the early innings of digitization, and our strong Q1 results demonstrate we're capturing share. We are executing consistently, moving fast where we see opportunities, and building a business that's not just larger, but structurally more valuable, with deeper strategic advantages and stronger customer relationships."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John Caplan,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650875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0A0A0A"/>
        </w:rPr>
        <w:t xml:space="preserve">First Quarter 2026 Business Highlights </w:t>
      </w:r>
      <w:r>
        <w:rPr>
          <w:rFonts w:ascii="Times New Roman" w:cs="Times New Roman" w:eastAsia="Times New Roman" w:hAnsi="Times New Roman"/>
          <w:sz w:val="20"/>
          <w:szCs w:val="20"/>
          <w:color w:val="0A0A0A"/>
        </w:rPr>
        <w:t>(unless otherwise noted)</w:t>
      </w:r>
    </w:p>
    <w:p>
      <w:pPr>
        <w:spacing w:after="0" w:line="232" w:lineRule="exact"/>
        <w:rPr>
          <w:sz w:val="20"/>
          <w:szCs w:val="20"/>
          <w:color w:val="auto"/>
        </w:rPr>
      </w:pPr>
    </w:p>
    <w:p>
      <w:pPr>
        <w:ind w:left="980" w:right="20" w:hanging="324"/>
        <w:spacing w:after="0" w:line="250" w:lineRule="auto"/>
        <w:tabs>
          <w:tab w:leader="none" w:pos="9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excluding interest income grew 11% year-over-year, driven by 16% volume growth led by a significant acceleration in B2B.</w:t>
      </w:r>
    </w:p>
    <w:p>
      <w:pPr>
        <w:spacing w:after="0" w:line="1" w:lineRule="exact"/>
        <w:rPr>
          <w:rFonts w:ascii="Times New Roman" w:cs="Times New Roman" w:eastAsia="Times New Roman" w:hAnsi="Times New Roman"/>
          <w:sz w:val="20"/>
          <w:szCs w:val="20"/>
          <w:color w:val="auto"/>
        </w:rPr>
      </w:pPr>
    </w:p>
    <w:p>
      <w:pPr>
        <w:ind w:left="980" w:hanging="324"/>
        <w:spacing w:after="0" w:line="237" w:lineRule="auto"/>
        <w:tabs>
          <w:tab w:leader="none" w:pos="9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SMB customer revenue of $189 million grew 12% year-over-year, reflecting:</w:t>
      </w:r>
    </w:p>
    <w:p>
      <w:pPr>
        <w:ind w:left="1620" w:hanging="316"/>
        <w:spacing w:after="0" w:line="225" w:lineRule="auto"/>
        <w:tabs>
          <w:tab w:leader="none" w:pos="1620" w:val="left"/>
        </w:tabs>
        <w:numPr>
          <w:ilvl w:val="1"/>
          <w:numId w:val="4"/>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SMBs that sell on marketplaces revenue of $115 million, up 4% year-over-year.</w:t>
      </w:r>
    </w:p>
    <w:p>
      <w:pPr>
        <w:ind w:left="1620" w:hanging="316"/>
        <w:spacing w:after="0" w:line="223" w:lineRule="auto"/>
        <w:tabs>
          <w:tab w:leader="none" w:pos="1620" w:val="left"/>
        </w:tabs>
        <w:numPr>
          <w:ilvl w:val="1"/>
          <w:numId w:val="4"/>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B2B SMBs revenue of $64 million, up 23% year-over-year.</w:t>
      </w:r>
    </w:p>
    <w:p>
      <w:pPr>
        <w:ind w:left="1620" w:hanging="316"/>
        <w:spacing w:after="0" w:line="223" w:lineRule="auto"/>
        <w:tabs>
          <w:tab w:leader="none" w:pos="1620" w:val="left"/>
        </w:tabs>
        <w:numPr>
          <w:ilvl w:val="1"/>
          <w:numId w:val="4"/>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Checkout revenue of $10 million, up 46% year-over-year.</w:t>
      </w:r>
    </w:p>
    <w:p>
      <w:pPr>
        <w:ind w:left="980" w:right="180" w:hanging="324"/>
        <w:spacing w:after="0" w:line="239"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B2B volume growth accelerated significantly to 44% year-over-year driven by strong growth in China, EMEA and APAC.</w:t>
      </w:r>
    </w:p>
    <w:p>
      <w:pPr>
        <w:ind w:left="980" w:hanging="324"/>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Strong enterprise payouts momentum continued with 28% year-over-year volume growth.</w:t>
      </w:r>
    </w:p>
    <w:p>
      <w:pPr>
        <w:ind w:left="980" w:right="100" w:hanging="324"/>
        <w:spacing w:after="0" w:line="239"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 growth in ARPU, and 22% growth in ARPU excluding interest income, the seventh consecutive quarter of 20%+ growth in ARPU excluding interest income.</w:t>
      </w:r>
    </w:p>
    <w:p>
      <w:pPr>
        <w:ind w:left="980" w:right="280" w:hanging="324"/>
        <w:spacing w:after="0" w:line="239"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1bp of SMB customer take rate expansion driven by mix shift towards higher yield products and services and the impact of our fee and monetization initiatives.</w:t>
      </w:r>
    </w:p>
    <w:p>
      <w:pPr>
        <w:jc w:val="both"/>
        <w:ind w:left="980" w:right="80" w:hanging="324"/>
        <w:spacing w:after="0" w:line="239"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$7.6 billion of customer funds (including both short-term and long-term funds) as of March 31, 2026. Customer funds growth of 15% year-over-year partially offset the impact of lower interest rates on year-over-year interest income.</w:t>
      </w:r>
    </w:p>
    <w:p>
      <w:pPr>
        <w:spacing w:after="0" w:line="1" w:lineRule="exact"/>
        <w:rPr>
          <w:rFonts w:ascii="Times New Roman" w:cs="Times New Roman" w:eastAsia="Times New Roman" w:hAnsi="Times New Roman"/>
          <w:sz w:val="20"/>
          <w:szCs w:val="20"/>
          <w:color w:val="auto"/>
        </w:rPr>
      </w:pPr>
    </w:p>
    <w:p>
      <w:pPr>
        <w:ind w:left="980" w:right="520" w:hanging="324"/>
        <w:spacing w:after="0" w:line="239"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year-over-year increase in share repurchases, with $74 million in the first quarter at a weighted average price of $5.16, vs $17 million in Q1 2025.</w:t>
      </w:r>
    </w:p>
    <w:p>
      <w:pPr>
        <w:ind w:left="980" w:right="500" w:hanging="324"/>
        <w:spacing w:after="0" w:line="246"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a strategic collaboration with FundPark, a fintech that provides financing solutions that help e-commerce businesses in Hong Kong accelerate their global business expansion.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Outlook</w:t>
      </w:r>
    </w:p>
    <w:p>
      <w:pPr>
        <w:spacing w:after="0" w:line="200" w:lineRule="exact"/>
        <w:rPr>
          <w:sz w:val="20"/>
          <w:szCs w:val="20"/>
          <w:color w:val="auto"/>
        </w:rPr>
      </w:pPr>
    </w:p>
    <w:p>
      <w:pPr>
        <w:spacing w:after="0" w:line="290" w:lineRule="exact"/>
        <w:rPr>
          <w:sz w:val="20"/>
          <w:szCs w:val="20"/>
          <w:color w:val="auto"/>
        </w:rPr>
      </w:pPr>
    </w:p>
    <w:p>
      <w:pPr>
        <w:jc w:val="both"/>
        <w:ind w:left="340"/>
        <w:spacing w:after="0" w:line="246" w:lineRule="auto"/>
        <w:rPr>
          <w:sz w:val="20"/>
          <w:szCs w:val="20"/>
          <w:color w:val="auto"/>
        </w:rPr>
      </w:pPr>
      <w:r>
        <w:rPr>
          <w:rFonts w:ascii="Times New Roman" w:cs="Times New Roman" w:eastAsia="Times New Roman" w:hAnsi="Times New Roman"/>
          <w:sz w:val="20"/>
          <w:szCs w:val="20"/>
          <w:color w:val="auto"/>
        </w:rPr>
        <w:t>“We begin 2026 with strong momentum. Revenue ex. interest is accelerating, robust growth in our B2B franchise is driving SMB take rate expansion, execution against our upmarket strategy is gaining traction and contributed to a seventh consecutive quarter of 20%+ growth in ARPU ex. interest, and core business profitability increased substantially. We’re unlocking significant operating leverage while making meaningful investments, including in stablecoin and agentic AI, that we believe will support our durable, profitable growth.</w:t>
      </w:r>
    </w:p>
    <w:p>
      <w:pPr>
        <w:spacing w:after="0" w:line="212" w:lineRule="exact"/>
        <w:rPr>
          <w:sz w:val="20"/>
          <w:szCs w:val="20"/>
          <w:color w:val="auto"/>
        </w:rPr>
      </w:pPr>
    </w:p>
    <w:p>
      <w:pPr>
        <w:jc w:val="both"/>
        <w:ind w:left="340"/>
        <w:spacing w:after="0" w:line="221" w:lineRule="auto"/>
        <w:rPr>
          <w:sz w:val="20"/>
          <w:szCs w:val="20"/>
          <w:color w:val="auto"/>
        </w:rPr>
      </w:pPr>
      <w:r>
        <w:rPr>
          <w:rFonts w:ascii="Times New Roman" w:cs="Times New Roman" w:eastAsia="Times New Roman" w:hAnsi="Times New Roman"/>
          <w:sz w:val="20"/>
          <w:szCs w:val="20"/>
          <w:color w:val="auto"/>
        </w:rPr>
        <w:t>We are increasing our full year 2026 guidance, reflecting $900-$940 million in revenue ex. interest and $200 million in interest income. We expect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20"/>
          <w:szCs w:val="20"/>
          <w:color w:val="auto"/>
        </w:rPr>
        <w:t xml:space="preserve"> of $285-$295 million. Our business fundamentals are strong, our strategic initiatives are working, and we're well-positioned to capitalize on the significant opportunity ahead of us."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Bea Ordonez,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814070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2026 guidance is as follows:</w:t>
      </w: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247"/>
        </w:trPr>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Revenue</w:t>
            </w: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$1,100 million - $1,140 million</w:t>
            </w:r>
          </w:p>
        </w:tc>
      </w:tr>
      <w:tr>
        <w:trPr>
          <w:trHeight w:val="258"/>
        </w:trPr>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Transaction costs</w:t>
            </w: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~15.0% of revenue</w:t>
            </w:r>
          </w:p>
        </w:tc>
      </w:tr>
      <w:tr>
        <w:trPr>
          <w:trHeight w:val="412"/>
        </w:trPr>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Adjusted EBITDA</w:t>
            </w:r>
            <w:r>
              <w:rPr>
                <w:rFonts w:ascii="Times New Roman" w:cs="Times New Roman" w:eastAsia="Times New Roman" w:hAnsi="Times New Roman"/>
                <w:sz w:val="29"/>
                <w:szCs w:val="29"/>
                <w:color w:val="auto"/>
                <w:w w:val="98"/>
                <w:vertAlign w:val="superscript"/>
              </w:rPr>
              <w:t>1</w:t>
            </w: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$285 million to $295 million</w:t>
            </w:r>
          </w:p>
        </w:tc>
      </w:tr>
    </w:tbl>
    <w:p>
      <w:pPr>
        <w:spacing w:after="0" w:line="365" w:lineRule="exact"/>
        <w:rPr>
          <w:sz w:val="20"/>
          <w:szCs w:val="20"/>
          <w:color w:val="auto"/>
        </w:rPr>
      </w:pPr>
    </w:p>
    <w:p>
      <w:pPr>
        <w:ind w:left="660" w:right="20" w:hanging="328"/>
        <w:spacing w:after="0" w:line="272"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cannot reconcile its expected adjusted EBITDA to expected net income under “2026 Guidance” without unreasonable effort because certain items that impact net income and other reconciling metrics are out of the Company's control and/or cannot be reasonably predicted at this time, including income taxes and other financial (income) expense, net. Such unavailable information could have a significant impact on the Company’s GAAP financial results. Please refer to “Financial Information; Non-GAAP Financial Measures” below for a description of the calculation of adjusted EBITDA.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Payoneer will host a live webcast of its earnings on a conference call with the investment community beginning at 8:30 a.m. ET today, May 7, 2026. To access the webcast, go to the investor relations section of the Company’s website at https://investor.payoneer.com. A replay will be available on the investor relations website following the call.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Payoneer</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Payoneer is the financial platform for cross-border business and global payments. Payoneer empowers millions of businesses with the financial tools and services they need to grow and transact globally with confidence. We make it easier for SMBs, particularly in emerging markets, to connect to the global economy, pay and get paid across borders, manage their funds across multiple currencies, and grow their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625475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press release includes, and oral statements made from time to time by representatives of Payoneer, may be considered “forward-looking statements” within the meaning of the “safe harbor” provisions of the United States Private Securities Litigation Reform Act of 1995. Forward-looking statements generally relate to future events or Payoneer’s future financial or operating performance. For example, projections of future revenue, transaction costs and adjusted EBITDA are forward-looking statements. In some cases, you can identify forward-looking statements by terminology such as “may,” “should,” “expect,” “intend,” “plan,”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Payoneer and its management, as the case may be, are inherently uncertain. Factors that may cause actual results to differ materially from current expectations include, but are not limited to: (1) changes in applicable laws or regulations; (2) the possibility that Payoneer may be adversely affected by geopolitical events and conflicts, such as Israel’s and the United States’ conflicts in the Middle East, and other economic, business and/or competitive factors, such as changes in global trade policies (including the imposition of tariffs); (3) changes in the assumptions underlying our financial estimates; (4) the outcome of any known and/or unknown legal or regulatory proceedings; and (5) other risks and uncertainties set forth in Payoneer’s Annual Report on Form 10-K for the period ended December 31, 2025 and future reports that Payoneer may file with the SEC from time to time.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Payoneer does not undertake any duty to update these forward-looking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 Non-GAAP Financial Measures</w:t>
      </w:r>
    </w:p>
    <w:p>
      <w:pPr>
        <w:spacing w:after="0" w:line="2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Some of the financial information and data contained in this press release, such as adjusted EBITDA, have not been prepared in accordance with United States generally accepted accounting principles (“GAAP”). Payoneer uses certain non-GAAP measures to compare Payoneer’s performance to that of prior periods for budgeting and planning purposes. Payoneer believes these non-GAAP measures of financial results provide useful information to management and investors regarding certain financial and business trends relating to Payoneer’s results of operations. Payoneer's method of determining these non-GAAP measures may be different from other companies' methods and, therefore, may not be comparable to those used by other companies and Payoneer does not recommend the sole use of these non-GAAP measures to assess its financial performance. Payoneer management does not consider these non-GAAP measures in isolation or as an alternative to financial measures determined in accordance with GAAP. The principal limitation of these non-GAAP financial measures is that they exclude significant expenses and income that are required by GAAP to be recorded in Payoneer’s financial statements. In addition, they are subject to inherent limitations as they reflect the exercise of judgments by management about which expense and income are excluded or included in determining these non-GAAP financial measures. In order to compensate for these limitations, management presents non-GAAP financial measures in connection with GAAP results. You should review Payoneer’s financial statements, which are included in Payoneer’s Annual Report on Form 10-K for the year ended December 31, 2025 and its subsequent Quarterly Reports on Form 10-Q, and not rely on any single financial measure to evaluate Payoneer’s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Non-GAAP measures include the following items:</w:t>
      </w:r>
    </w:p>
    <w:p>
      <w:pPr>
        <w:spacing w:after="0" w:line="228"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20"/>
          <w:szCs w:val="20"/>
          <w:color w:val="auto"/>
        </w:rPr>
        <w:t>Adjusted EBITDA: We provide adjusted EBITDA, a non-GAAP financial measure that represents our net income (loss) adjusted to exclude, as applicable: M&amp;A related expense (income), stock-based compensation expenses, restructuring charges, loss (gain) from change in fair value of warrants and warrant repurchase/redemption, other financial expense (income), net, income taxes, and depreciation and amortization.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 ex. Interest: represents Adjusted EBITDA excluding interest income.</w:t>
      </w:r>
    </w:p>
    <w:p>
      <w:pPr>
        <w:spacing w:after="0" w:line="229" w:lineRule="exact"/>
        <w:rPr>
          <w:sz w:val="20"/>
          <w:szCs w:val="20"/>
          <w:color w:val="auto"/>
        </w:rPr>
      </w:pPr>
    </w:p>
    <w:p>
      <w:pPr>
        <w:jc w:val="both"/>
        <w:ind w:right="560"/>
        <w:spacing w:after="0" w:line="269" w:lineRule="auto"/>
        <w:rPr>
          <w:sz w:val="20"/>
          <w:szCs w:val="20"/>
          <w:color w:val="auto"/>
        </w:rPr>
      </w:pPr>
      <w:r>
        <w:rPr>
          <w:rFonts w:ascii="Times New Roman" w:cs="Times New Roman" w:eastAsia="Times New Roman" w:hAnsi="Times New Roman"/>
          <w:sz w:val="20"/>
          <w:szCs w:val="20"/>
          <w:color w:val="auto"/>
        </w:rPr>
        <w:t>Other companies may calculate the above measure differently, and therefore Payoneer’s measures may not be directly comparable to similarly titled measures of other companies.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 and Definitions</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this earnings release, we reference volume, which is an operational metric. Volume refers to the total dollar value of transactions successfully completed or enabled by our platform, not including orchestration transactions. For a customer that both receives and later sends payments, we count the volume only once. Note: orchestration transactions ceased in 2024 and were related to our 2020 acquisition of optile GmbH.</w:t>
      </w:r>
    </w:p>
    <w:p>
      <w:pPr>
        <w:spacing w:after="0" w:line="19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We also reference ARPU (Average Revenue Per User), which is defined as the Revenue from Active Customers divided by the number of Active Customers over the period in which the Revenue was earned. Active Customers for these purposes are defined as Payoneer accountholders with at least 1 financial transaction over the period. Revenue from Active Customers represents revenue attributed to Active Customers based on their use of the Payoneer platform, including interest income earned from their balances, and excluding revenues unrelated to their activities.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Michelle Wang</w:t>
      </w:r>
    </w:p>
    <w:p>
      <w:pPr>
        <w:spacing w:after="0"/>
        <w:rPr>
          <w:sz w:val="20"/>
          <w:szCs w:val="20"/>
          <w:color w:val="auto"/>
        </w:rPr>
      </w:pPr>
      <w:r>
        <w:rPr>
          <w:rFonts w:ascii="Times New Roman" w:cs="Times New Roman" w:eastAsia="Times New Roman" w:hAnsi="Times New Roman"/>
          <w:sz w:val="20"/>
          <w:szCs w:val="20"/>
          <w:color w:val="auto"/>
        </w:rPr>
        <w:t>investor@payoneer.com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Angela Sullivan</w:t>
      </w:r>
    </w:p>
    <w:p>
      <w:pPr>
        <w:spacing w:after="0"/>
        <w:rPr>
          <w:sz w:val="20"/>
          <w:szCs w:val="20"/>
          <w:color w:val="auto"/>
        </w:rPr>
      </w:pPr>
      <w:r>
        <w:rPr>
          <w:rFonts w:ascii="Times New Roman" w:cs="Times New Roman" w:eastAsia="Times New Roman" w:hAnsi="Times New Roman"/>
          <w:sz w:val="20"/>
          <w:szCs w:val="20"/>
          <w:color w:val="auto"/>
        </w:rPr>
        <w:t>PR@payoneer.com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1020445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TABLE - 1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(UNAUDITED)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and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60" w:type="dxa"/>
            <w:vAlign w:val="bottom"/>
            <w:vMerge w:val="restart"/>
          </w:tcPr>
          <w:p>
            <w:pPr>
              <w:ind w:left="67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479"/>
              <w:spacing w:after="0" w:line="145"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gridSpan w:val="2"/>
          </w:tcPr>
          <w:p>
            <w:pPr>
              <w:jc w:val="right"/>
              <w:ind w:right="359"/>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479"/>
              <w:spacing w:after="0" w:line="145"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261,595</w:t>
            </w:r>
          </w:p>
        </w:tc>
        <w:tc>
          <w:tcPr>
            <w:tcW w:w="6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35,202</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40,011</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43,326</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58,112</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36,007</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18,916</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231,574</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217,298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30,021</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expense:</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financial expense, net</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expense, net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29,209</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19,568</w:t>
            </w:r>
          </w:p>
        </w:tc>
        <w:tc>
          <w:tcPr>
            <w:tcW w:w="6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(loss) on available-for-sale debt securities, net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benefit (expense) on unrealized gain (loss) on available-for-sale debt securities, net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cash flow hedges, net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benefit on unrealized loss on cash flow hedges, net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interest rate floor, net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expense on unrealized gain on interest rate floor, net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6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per share attributable to common stockholders — Basic earnings per share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6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Diluted earnings per share</w:t>
            </w: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345,342,308</w:t>
            </w: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362,979,571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86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350,470,788</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382,215,129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9"/>
        </w:trPr>
        <w:tc>
          <w:tcPr>
            <w:tcW w:w="20" w:type="dxa"/>
            <w:vAlign w:val="bottom"/>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4"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auto"/>
        </w:rPr>
        <w:t>Disaggregation of revenue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revenue recognized from contracts with customers as well as revenue from other sources: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8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4"/>
          </w:tcPr>
          <w:p>
            <w:pPr>
              <w:jc w:val="center"/>
              <w:ind w:right="25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6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199"/>
        </w:trPr>
        <w:tc>
          <w:tcPr>
            <w:tcW w:w="6880" w:type="dxa"/>
            <w:vAlign w:val="bottom"/>
          </w:tcPr>
          <w:p>
            <w:pPr>
              <w:ind w:left="67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206,899</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185,333</w:t>
            </w:r>
          </w:p>
        </w:tc>
      </w:tr>
      <w:tr>
        <w:trPr>
          <w:trHeight w:val="216"/>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208,051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186,263</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customer balances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51,537</w:t>
            </w:r>
          </w:p>
        </w:tc>
        <w:tc>
          <w:tcPr>
            <w:tcW w:w="6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57,972</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advance income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10"/>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 from other sources</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53,544</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60,354</w:t>
            </w:r>
          </w:p>
        </w:tc>
      </w:tr>
      <w:tr>
        <w:trPr>
          <w:trHeight w:val="209"/>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261,595</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246,617</w:t>
            </w:r>
          </w:p>
        </w:tc>
      </w:tr>
      <w:tr>
        <w:trPr>
          <w:trHeight w:val="20"/>
        </w:trPr>
        <w:tc>
          <w:tcPr>
            <w:tcW w:w="6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 following table presents the Company’s revenue disaggregated by primary regional market, with revenues being attributed to the country (in the region) in which the billing address of the transacting customer is located, with the exception of global bank transfer revenues, where revenues are disaggregated based on the billing address of the transaction funds source.</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4"/>
          </w:tcPr>
          <w:p>
            <w:pPr>
              <w:jc w:val="center"/>
              <w:ind w:left="574"/>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6"/>
          </w:tcPr>
          <w:p>
            <w:pPr>
              <w:jc w:val="center"/>
              <w:ind w:right="29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left="574"/>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80" w:type="dxa"/>
            <w:vAlign w:val="bottom"/>
          </w:tcPr>
          <w:p>
            <w:pPr>
              <w:spacing w:after="0"/>
              <w:rPr>
                <w:sz w:val="17"/>
                <w:szCs w:val="17"/>
                <w:color w:val="auto"/>
              </w:rPr>
            </w:pPr>
          </w:p>
        </w:tc>
        <w:tc>
          <w:tcPr>
            <w:tcW w:w="4400" w:type="dxa"/>
            <w:vAlign w:val="bottom"/>
          </w:tcPr>
          <w:p>
            <w:pPr>
              <w:ind w:left="42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Pr>
          <w:p>
            <w:pPr>
              <w:spacing w:after="0"/>
              <w:rPr>
                <w:sz w:val="17"/>
                <w:szCs w:val="17"/>
                <w:color w:val="auto"/>
              </w:rPr>
            </w:pPr>
          </w:p>
        </w:tc>
        <w:tc>
          <w:tcPr>
            <w:tcW w:w="66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Primary regional markets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Greater China</w:t>
            </w:r>
            <w:r>
              <w:rPr>
                <w:rFonts w:ascii="Times New Roman" w:cs="Times New Roman" w:eastAsia="Times New Roman" w:hAnsi="Times New Roman"/>
                <w:sz w:val="25"/>
                <w:szCs w:val="25"/>
                <w:color w:val="auto"/>
                <w:vertAlign w:val="superscript"/>
              </w:rPr>
              <w:t>(1)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86,616</w:t>
            </w:r>
          </w:p>
        </w:tc>
        <w:tc>
          <w:tcPr>
            <w:tcW w:w="70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Europe, Middle East, and Africa</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Asia-Pacific</w:t>
            </w:r>
            <w:r>
              <w:rPr>
                <w:rFonts w:ascii="Times New Roman" w:cs="Times New Roman" w:eastAsia="Times New Roman" w:hAnsi="Times New Roman"/>
                <w:sz w:val="25"/>
                <w:szCs w:val="25"/>
                <w:color w:val="auto"/>
                <w:vertAlign w:val="superscript"/>
              </w:rPr>
              <w:t>(2)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Latin America</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North America</w:t>
            </w:r>
            <w:r>
              <w:rPr>
                <w:rFonts w:ascii="Times New Roman" w:cs="Times New Roman" w:eastAsia="Times New Roman" w:hAnsi="Times New Roman"/>
                <w:sz w:val="25"/>
                <w:szCs w:val="25"/>
                <w:color w:val="auto"/>
                <w:vertAlign w:val="superscript"/>
              </w:rPr>
              <w:t>(3)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261,595</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China is inclusive of mainland China, Hong Kong, Macao and Taiwan.</w:t>
      </w:r>
    </w:p>
    <w:p>
      <w:pPr>
        <w:spacing w:after="0" w:line="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single country included in any of these regions generated more than 10% of total revenue.</w:t>
      </w:r>
    </w:p>
    <w:p>
      <w:pPr>
        <w:ind w:left="660" w:right="260" w:hanging="328"/>
        <w:spacing w:after="0" w:line="246" w:lineRule="auto"/>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 is the Company’s country of domicile. Of North America revenues, the U.S. represents $25,123 and $22,624 during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626745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118" w:right="9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TABLE - 2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NET INCOME TO ADJUSTED EBITDA (UNAUDITED)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gridSpan w:val="7"/>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32"/>
              <w:spacing w:after="0" w:line="148"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ind w:right="370"/>
              <w:spacing w:after="0" w:line="148"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651"/>
              <w:spacing w:after="0" w:line="148"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20,577</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expense, net</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09"/>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48,937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43,709</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Stock based compensation expenses</w:t>
            </w:r>
            <w:r>
              <w:rPr>
                <w:rFonts w:ascii="Times New Roman" w:cs="Times New Roman" w:eastAsia="Times New Roman" w:hAnsi="Times New Roman"/>
                <w:sz w:val="25"/>
                <w:szCs w:val="25"/>
                <w:color w:val="auto"/>
                <w:vertAlign w:val="superscript"/>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M&amp;A related expenses</w:t>
            </w:r>
            <w:r>
              <w:rPr>
                <w:rFonts w:ascii="Times New Roman" w:cs="Times New Roman" w:eastAsia="Times New Roman" w:hAnsi="Times New Roman"/>
                <w:sz w:val="25"/>
                <w:szCs w:val="25"/>
                <w:color w:val="auto"/>
                <w:vertAlign w:val="superscript"/>
              </w:rPr>
              <w:t>(2)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69,448</w:t>
            </w:r>
          </w:p>
        </w:tc>
        <w:tc>
          <w:tcPr>
            <w:tcW w:w="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65,431</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gridSpan w:val="7"/>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Mar. 31, 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Sept. 30, 2025</w:t>
            </w:r>
          </w:p>
        </w:tc>
        <w:tc>
          <w:tcPr>
            <w:tcW w:w="40" w:type="dxa"/>
            <w:vAlign w:val="bottom"/>
          </w:tcPr>
          <w:p>
            <w:pPr>
              <w:spacing w:after="0"/>
              <w:rPr>
                <w:sz w:val="18"/>
                <w:szCs w:val="18"/>
                <w:color w:val="auto"/>
              </w:rPr>
            </w:pPr>
          </w:p>
        </w:tc>
        <w:tc>
          <w:tcPr>
            <w:tcW w:w="1280" w:type="dxa"/>
            <w:vAlign w:val="bottom"/>
            <w:gridSpan w:val="4"/>
          </w:tcPr>
          <w:p>
            <w:pPr>
              <w:jc w:val="right"/>
              <w:ind w:right="30"/>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5"/>
                <w:szCs w:val="15"/>
                <w:b w:val="1"/>
                <w:bCs w:val="1"/>
                <w:color w:val="auto"/>
              </w:rPr>
              <w:t xml:space="preserve"> Dec. 31, 2025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w w:val="99"/>
              </w:rPr>
              <w:t>Mar. 31, 2026</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expense, net</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48,937</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Stock based compensation expenses</w:t>
            </w:r>
            <w:r>
              <w:rPr>
                <w:rFonts w:ascii="Times New Roman" w:cs="Times New Roman" w:eastAsia="Times New Roman" w:hAnsi="Times New Roman"/>
                <w:sz w:val="25"/>
                <w:szCs w:val="25"/>
                <w:color w:val="auto"/>
                <w:vertAlign w:val="superscript"/>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M&amp;A related expenses</w:t>
            </w:r>
            <w:r>
              <w:rPr>
                <w:rFonts w:ascii="Times New Roman" w:cs="Times New Roman" w:eastAsia="Times New Roman" w:hAnsi="Times New Roman"/>
                <w:sz w:val="25"/>
                <w:szCs w:val="25"/>
                <w:color w:val="auto"/>
                <w:vertAlign w:val="superscript"/>
              </w:rPr>
              <w:t>(2)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66,425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71,267</w:t>
            </w:r>
          </w:p>
        </w:tc>
        <w:tc>
          <w:tcPr>
            <w:tcW w:w="600" w:type="dxa"/>
            <w:vAlign w:val="bottom"/>
            <w:gridSpan w:val="3"/>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69,448</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60" w:right="100" w:hanging="328"/>
        <w:spacing w:after="0" w:line="247"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non-cash charges associated with stock-based compensation expense, which has been, and will continue to be for the foreseeable future, a significant recurring expense in our business and an important part of our compensation strategy.</w:t>
      </w:r>
    </w:p>
    <w:p>
      <w:pPr>
        <w:ind w:left="660" w:right="140" w:hanging="328"/>
        <w:spacing w:after="0" w:line="239"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relate to M&amp;A-related third-party fees, including related legal, consulting and other expenditures. For the three months ended March 31, 2026, $0.5 million of these expenses related to the acquisition of Boundless and the non-recurring fair value adjustment of the Skuad contingent consideration liability discussed in Note 3 to our condensed consolidated financial statements included elsewhere within this Quarterly Report on Form 10-Q. Amounts for the three months ended March 31, 2025 include $0.3 million in non-recurring fair value adjustment of the Skuad contingent consideration liability discussed in Note 3 to our condensed consolidated financial statements included elsewhere within this Quarterly Report on Form 10-Q.</w:t>
      </w:r>
    </w:p>
    <w:p>
      <w:pPr>
        <w:spacing w:after="0" w:line="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non-recurring costs related to severance and other employee termination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TABLE - 3</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jc w:val="center"/>
        <w:ind w:right="40"/>
        <w:spacing w:after="0"/>
        <w:rPr>
          <w:sz w:val="20"/>
          <w:szCs w:val="20"/>
          <w:color w:val="auto"/>
        </w:rPr>
      </w:pPr>
      <w:r>
        <w:rPr>
          <w:rFonts w:ascii="Times New Roman" w:cs="Times New Roman" w:eastAsia="Times New Roman" w:hAnsi="Times New Roman"/>
          <w:sz w:val="20"/>
          <w:szCs w:val="20"/>
          <w:color w:val="auto"/>
        </w:rPr>
        <w:t>(U.S. dollars in thousands, except share and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4"/>
          </w:tcPr>
          <w:p>
            <w:pPr>
              <w:jc w:val="center"/>
              <w:ind w:left="673"/>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6"/>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9"/>
        </w:trPr>
        <w:tc>
          <w:tcPr>
            <w:tcW w:w="7000" w:type="dxa"/>
            <w:vAlign w:val="bottom"/>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19,568</w:t>
            </w:r>
          </w:p>
        </w:tc>
        <w:tc>
          <w:tcPr>
            <w:tcW w:w="6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345,342,308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362,979,571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impact of RSUs, ESPP and options to purchase common stock</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5,128,480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impact of private Warrants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350,470,788</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382,215,129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Basic earnings per share</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8"/>
        </w:trPr>
        <w:tc>
          <w:tcPr>
            <w:tcW w:w="7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114" w:right="95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TABLE - 4</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ind w:left="2560"/>
        <w:spacing w:after="0"/>
        <w:rPr>
          <w:sz w:val="20"/>
          <w:szCs w:val="20"/>
          <w:color w:val="auto"/>
        </w:rPr>
      </w:pPr>
      <w:r>
        <w:rPr>
          <w:rFonts w:ascii="Times New Roman" w:cs="Times New Roman" w:eastAsia="Times New Roman" w:hAnsi="Times New Roman"/>
          <w:sz w:val="20"/>
          <w:szCs w:val="20"/>
          <w:b w:val="1"/>
          <w:bCs w:val="1"/>
          <w:color w:val="auto"/>
        </w:rPr>
        <w:t>CONSOLIDATED BALANCE SHEETS (UNAUDITED)</w:t>
      </w:r>
    </w:p>
    <w:p>
      <w:pPr>
        <w:ind w:left="2620"/>
        <w:spacing w:after="0"/>
        <w:rPr>
          <w:sz w:val="20"/>
          <w:szCs w:val="20"/>
          <w:color w:val="auto"/>
        </w:rPr>
      </w:pPr>
      <w:r>
        <w:rPr>
          <w:rFonts w:ascii="Times New Roman" w:cs="Times New Roman" w:eastAsia="Times New Roman" w:hAnsi="Times New Roman"/>
          <w:sz w:val="20"/>
          <w:szCs w:val="20"/>
          <w:color w:val="auto"/>
        </w:rPr>
        <w:t>(U.S. dollars 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120" w:type="dxa"/>
            <w:vAlign w:val="bottom"/>
          </w:tcPr>
          <w:p>
            <w:pPr>
              <w:ind w:left="698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339,365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Customer funds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7,245,415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7,544,541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 of allowance of $843 and $501 at March 31, 2026 and December 31, 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 advance receivables (net of allowance of $3,676 at March 31, 2026 and $3,953 at December 31,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83,969</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7,723,468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8,110,916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86,188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214,443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Customer funds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tax assets, net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Severance pay fund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35,729</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8,598,006</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8,956,589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Trade payables</w:t>
            </w: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Outstanding operating balances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7,595,415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7,894,541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payables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124,637</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7,761,863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8,083,720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151,613</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7,938,931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8,252,162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380,000,000 shares authorized; no shares were issued and outstanding</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at March 31, 2026 and December 31, 2025.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$0.01 par value, 3,800,000,000 and 3,800,000,000 shares authorized; 415,278,698 and</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411,826,086 shares issued and 337,813,340 and 348,704,315 shares outstanding at March 31, 2026 and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Treasury stock at cost, 77,465,358 and 63,121,771 shares as of March 31, 2026 and December 31, 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912,812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896,294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198,727</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659,075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704,427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8,598,006</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8,956,589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5"/>
        </w:trPr>
        <w:tc>
          <w:tcPr>
            <w:tcW w:w="20" w:type="dxa"/>
            <w:vAlign w:val="bottom"/>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114" w:right="95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TABLE - 5</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(UNAUDITED)</w:t>
      </w:r>
    </w:p>
    <w:p>
      <w:pPr>
        <w:jc w:val="center"/>
        <w:ind w:right="40"/>
        <w:spacing w:after="0"/>
        <w:rPr>
          <w:sz w:val="20"/>
          <w:szCs w:val="20"/>
          <w:color w:val="auto"/>
        </w:rPr>
      </w:pPr>
      <w:r>
        <w:rPr>
          <w:rFonts w:ascii="Times New Roman" w:cs="Times New Roman" w:eastAsia="Times New Roman" w:hAnsi="Times New Roman"/>
          <w:sz w:val="20"/>
          <w:szCs w:val="20"/>
          <w:color w:val="auto"/>
        </w:rPr>
        <w:t>(U.S.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60" w:type="dxa"/>
            <w:vAlign w:val="bottom"/>
          </w:tcPr>
          <w:p>
            <w:pPr>
              <w:ind w:left="71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60" w:type="dxa"/>
            <w:vAlign w:val="bottom"/>
            <w:vMerge w:val="restart"/>
          </w:tcPr>
          <w:p>
            <w:pPr>
              <w:ind w:left="710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19,568</w:t>
            </w:r>
          </w:p>
        </w:tc>
        <w:tc>
          <w:tcPr>
            <w:tcW w:w="58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20,577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Adjustment to reconcile net income to net cash provided by operating activities: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18,916</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Deferred taxes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Stock-based compensation expenses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18,524</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Interest on certificate of deposits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(5,718)</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Interest and amortization of premium/discount on investments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realized (gains) losses on derivative instruments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Foreign currency re-measurement (gain) loss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Other current assets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6,802</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Trade payables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Deferred revenue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Accounts receivable, net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Capital advance extended to customers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(64,160)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Capital advance collected from customers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70,591</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Other payables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(15,154)</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6,603</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3,139</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Other assets</w:t>
            </w:r>
          </w:p>
        </w:tc>
        <w:tc>
          <w:tcPr>
            <w:tcW w:w="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2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51,831</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53,716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property, equipment and software</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(10,148)</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Capitalization of internal use software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(18,619)</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Severance pay fund distributions, net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Customer funds in transit, net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(22,319)</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Purchases of investments in available-for-sale debt securities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(80,375)</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Maturities of investments in available-for-sale debt securities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Settlement of cash flow hedges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Cash paid in connection with acquisition, net of cash acquired</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(6,479)</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(60,890)</w:t>
            </w:r>
          </w:p>
        </w:tc>
        <w:tc>
          <w:tcPr>
            <w:tcW w:w="2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(47,986)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Proceeds from issuance of common stock in connection with stock-based compensation plan, net of taxes paid related to</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settlement of equity awards and proceeds from employee equity transactions to be remitted to employees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(2,543)</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Outstanding operating balances, net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(301,781)</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(385,763)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Receipts of collateral on interest rate derivatives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32,860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Payments of collateral on interest rate derivatives</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(32,680)</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Consideration related to previous acquisitions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(6,519)</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 repurchased</w:t>
            </w:r>
          </w:p>
        </w:tc>
        <w:tc>
          <w:tcPr>
            <w:tcW w:w="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(74,991)</w:t>
            </w:r>
          </w:p>
        </w:tc>
        <w:tc>
          <w:tcPr>
            <w:tcW w:w="2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(385,654)</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(402,446)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Effect of exchange rate changes on cash and cash equivalents</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change in cash, cash equivalents, restricted cash and customer funds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(395,521)</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(394,838)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restricted cash and customer funds at beginning of period</w:t>
            </w:r>
          </w:p>
        </w:tc>
        <w:tc>
          <w:tcPr>
            <w:tcW w:w="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6,416,707</w:t>
            </w:r>
          </w:p>
        </w:tc>
        <w:tc>
          <w:tcPr>
            <w:tcW w:w="2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5,658,210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cash equivalents, restricted cash and customer funds at end of period</w:t>
            </w:r>
          </w:p>
        </w:tc>
        <w:tc>
          <w:tcPr>
            <w:tcW w:w="40" w:type="dxa"/>
            <w:vAlign w:val="bottom"/>
          </w:tcPr>
          <w:p>
            <w:pPr>
              <w:spacing w:after="0"/>
              <w:rPr>
                <w:sz w:val="15"/>
                <w:szCs w:val="15"/>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6,021,186</w:t>
            </w:r>
          </w:p>
        </w:tc>
        <w:tc>
          <w:tcPr>
            <w:tcW w:w="260" w:type="dxa"/>
            <w:vAlign w:val="bottom"/>
          </w:tcPr>
          <w:p>
            <w:pPr>
              <w:spacing w:after="0"/>
              <w:rPr>
                <w:sz w:val="15"/>
                <w:szCs w:val="15"/>
                <w:color w:val="auto"/>
              </w:rPr>
            </w:pPr>
          </w:p>
        </w:tc>
        <w:tc>
          <w:tcPr>
            <w:tcW w:w="3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5,263,372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information of investing and financing activities not involving cash flows:</w:t>
            </w: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Property, equipment, and software acquired but not paid</w:t>
            </w:r>
          </w:p>
        </w:tc>
        <w:tc>
          <w:tcPr>
            <w:tcW w:w="2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58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Internal use software capitalized but not paid</w:t>
            </w:r>
          </w:p>
        </w:tc>
        <w:tc>
          <w:tcPr>
            <w:tcW w:w="2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6,694</w:t>
            </w:r>
          </w:p>
        </w:tc>
        <w:tc>
          <w:tcPr>
            <w:tcW w:w="58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 repurchased but not paid</w:t>
            </w:r>
          </w:p>
        </w:tc>
        <w:tc>
          <w:tcPr>
            <w:tcW w:w="2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w:t>
            </w:r>
          </w:p>
        </w:tc>
        <w:tc>
          <w:tcPr>
            <w:tcW w:w="58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Right of use assets obtained in exchange for new operating lease liabilities</w:t>
            </w:r>
          </w:p>
        </w:tc>
        <w:tc>
          <w:tcPr>
            <w:tcW w:w="2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2,330</w:t>
            </w:r>
          </w:p>
        </w:tc>
        <w:tc>
          <w:tcPr>
            <w:tcW w:w="58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60"/>
      </w:cols>
      <w:pgMar w:left="980" w:top="114"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2026-05-07T06:37:03Z</dcterms:created>
  <dcterms:modified xsi:type="dcterms:W3CDTF">2026-05-07T06:37:03Z</dcterms:modified>
</cp:coreProperties>
</file>