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Ordonez Beatrice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195 BROADWAY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Payoneer Global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PAYO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969"/>
        <w:gridCol w:w="449"/>
        <w:gridCol w:w="665"/>
        <w:gridCol w:w="1272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60,485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7.12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2,726,478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solely to cover the Reporting Person's tax obligation arising from the settlement of vested restricted stock units and does not represent an open market sale.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Anna Bochkareva, attorney-in-fact for Beatrice Ordonez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2088" TargetMode="External"/><Relationship Id="rId5" Type="http://schemas.openxmlformats.org/officeDocument/2006/relationships/hyperlink" Target="http://www.sec.gov/cgi-bin/browse-edgar?action=getcompany&amp;CIK=00018458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3258</Characters>
  <CharactersWithSpaces>3785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