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3036_8k.htm"/>
      <w:bookmarkStart w:id="1" w:name="ksdp253036_8k"/>
      <w:bookmarkEnd w:id="0"/>
      <w:bookmarkEnd w:id="1"/>
      <w:r>
        <w:rPr/>
        <w:t>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9_edei--DocumentType_c20260908__20"/>
      <w:bookmarkEnd w:id="2"/>
      <w:r>
        <w:rPr>
          <w:rFonts w:ascii="Times New Roman;Times;Serif" w:hAnsi="Times New Roman;Times;Serif"/>
          <w:b/>
          <w:i w:val="false"/>
          <w:caps w:val="false"/>
          <w:smallCaps w:val="false"/>
          <w:sz w:val="24"/>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September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8"/>
              </w:rPr>
            </w:pPr>
            <w:bookmarkStart w:id="4" w:name="xdx_90C_edei--EntityRegistrantName_c2026"/>
            <w:bookmarkEnd w:id="4"/>
            <w:r>
              <w:rPr>
                <w:b/>
                <w:sz w:val="28"/>
              </w:rPr>
              <w:t>Payoneer Global Inc.</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283"/>
        <w:jc w:val="left"/>
        <w:rPr/>
      </w:pPr>
      <w:r>
        <w:rPr/>
        <w:t> </w:t>
      </w:r>
    </w:p>
    <w:p>
      <w:pPr>
        <w:pStyle w:val="TextBody"/>
        <w:bidi w:val="0"/>
        <w:spacing w:before="0" w:after="283"/>
        <w:jc w:val="left"/>
        <w:rPr/>
      </w:pPr>
      <w:r>
        <w:rPr/>
        <w:t> </w:t>
      </w:r>
    </w:p>
    <w:tbl>
      <w:tblPr>
        <w:tblW w:w="9315" w:type="dxa"/>
        <w:jc w:val="left"/>
        <w:tblInd w:w="0" w:type="dxa"/>
        <w:tblLayout w:type="fixed"/>
        <w:tblCellMar>
          <w:top w:w="0" w:type="dxa"/>
          <w:left w:w="0" w:type="dxa"/>
          <w:bottom w:w="28" w:type="dxa"/>
          <w:right w:w="0" w:type="dxa"/>
        </w:tblCellMar>
      </w:tblPr>
      <w:tblGrid>
        <w:gridCol w:w="3590"/>
        <w:gridCol w:w="300"/>
        <w:gridCol w:w="2210"/>
        <w:gridCol w:w="300"/>
        <w:gridCol w:w="2915"/>
      </w:tblGrid>
      <w:tr>
        <w:trPr/>
        <w:tc>
          <w:tcPr>
            <w:tcW w:w="3590" w:type="dxa"/>
            <w:tcBorders>
              <w:bottom w:val="single" w:sz="12" w:space="0" w:color="000000"/>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30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A_edei--EntityFileNumber_c20260908"/>
            <w:bookmarkEnd w:id="6"/>
            <w:r>
              <w:rPr>
                <w:b/>
                <w:sz w:val="20"/>
              </w:rPr>
              <w:t>001-40547</w:t>
            </w:r>
          </w:p>
        </w:tc>
        <w:tc>
          <w:tcPr>
            <w:tcW w:w="300" w:type="dxa"/>
            <w:tcBorders/>
            <w:tcMar>
              <w:bottom w:w="0" w:type="dxa"/>
            </w:tcMar>
            <w:vAlign w:val="center"/>
          </w:tcPr>
          <w:p>
            <w:pPr>
              <w:pStyle w:val="TableContents"/>
              <w:bidi w:val="0"/>
              <w:spacing w:before="0" w:after="283"/>
              <w:jc w:val="center"/>
              <w:rPr/>
            </w:pPr>
            <w:r>
              <w:rPr/>
              <w:t>     </w:t>
            </w:r>
          </w:p>
        </w:tc>
        <w:tc>
          <w:tcPr>
            <w:tcW w:w="2915" w:type="dxa"/>
            <w:tcBorders>
              <w:bottom w:val="single" w:sz="12" w:space="0" w:color="000000"/>
            </w:tcBorders>
            <w:vAlign w:val="center"/>
          </w:tcPr>
          <w:p>
            <w:pPr>
              <w:pStyle w:val="TableContents"/>
              <w:bidi w:val="0"/>
              <w:spacing w:before="0" w:after="283"/>
              <w:jc w:val="center"/>
              <w:rPr>
                <w:b/>
                <w:sz w:val="20"/>
              </w:rPr>
            </w:pPr>
            <w:bookmarkStart w:id="7" w:name="xdx_90A_edei--EntityTaxIdentificationNum"/>
            <w:bookmarkEnd w:id="7"/>
            <w:r>
              <w:rPr>
                <w:b/>
                <w:sz w:val="20"/>
              </w:rPr>
              <w:t>86-1778671</w:t>
            </w:r>
          </w:p>
        </w:tc>
      </w:tr>
      <w:tr>
        <w:trPr/>
        <w:tc>
          <w:tcPr>
            <w:tcW w:w="3590" w:type="dxa"/>
            <w:tcBorders/>
            <w:tcMar>
              <w:bottom w:w="0" w:type="dxa"/>
            </w:tcMar>
            <w:vAlign w:val="center"/>
          </w:tcPr>
          <w:p>
            <w:pPr>
              <w:pStyle w:val="TableContents"/>
              <w:bidi w:val="0"/>
              <w:spacing w:before="0" w:after="283"/>
              <w:jc w:val="center"/>
              <w:rPr>
                <w:sz w:val="20"/>
              </w:rPr>
            </w:pPr>
            <w:r>
              <w:rPr>
                <w:sz w:val="20"/>
              </w:rPr>
              <w:t>(State or other jurisdiction of incorporation)</w:t>
            </w:r>
          </w:p>
        </w:tc>
        <w:tc>
          <w:tcPr>
            <w:tcW w:w="30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300" w:type="dxa"/>
            <w:tcBorders/>
            <w:tcMar>
              <w:bottom w:w="0" w:type="dxa"/>
            </w:tcMar>
            <w:vAlign w:val="center"/>
          </w:tcPr>
          <w:p>
            <w:pPr>
              <w:pStyle w:val="TableContents"/>
              <w:bidi w:val="0"/>
              <w:spacing w:before="0" w:after="283"/>
              <w:jc w:val="center"/>
              <w:rPr/>
            </w:pPr>
            <w:r>
              <w:rPr/>
              <w:t> </w:t>
            </w:r>
          </w:p>
        </w:tc>
        <w:tc>
          <w:tcPr>
            <w:tcW w:w="2915"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283"/>
        <w:jc w:val="left"/>
        <w:rPr/>
      </w:pPr>
      <w:r>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r>
      <w:tr>
        <w:trPr/>
        <w:tc>
          <w:tcPr>
            <w:tcW w:w="3275"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195 Broadway, </w:t>
            </w:r>
            <w:bookmarkStart w:id="9" w:name="xdx_904_edei--EntityAddressAddressLine2_"/>
            <w:bookmarkEnd w:id="9"/>
            <w:r>
              <w:rPr>
                <w:rFonts w:ascii="Times New Roman;Times;Serif" w:hAnsi="Times New Roman;Times;Serif"/>
                <w:b/>
                <w:i w:val="false"/>
                <w:caps w:val="false"/>
                <w:smallCaps w:val="false"/>
                <w:sz w:val="20"/>
              </w:rPr>
              <w:t>27th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New York, </w:t>
            </w:r>
            <w:bookmarkStart w:id="11" w:name="xdx_90F_edei--EntityAddressStateOrProvin"/>
            <w:bookmarkEnd w:id="11"/>
            <w:r>
              <w:rPr>
                <w:rFonts w:ascii="Times New Roman;Times;Serif" w:hAnsi="Times New Roman;Times;Serif"/>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920" w:type="dxa"/>
            <w:tcBorders>
              <w:bottom w:val="single" w:sz="12" w:space="0" w:color="000000"/>
            </w:tcBorders>
            <w:tcMar>
              <w:bottom w:w="28" w:type="dxa"/>
            </w:tcMar>
            <w:vAlign w:val="center"/>
          </w:tcPr>
          <w:p>
            <w:pPr>
              <w:pStyle w:val="TableContents"/>
              <w:bidi w:val="0"/>
              <w:spacing w:before="0" w:after="283"/>
              <w:jc w:val="center"/>
              <w:rPr>
                <w:b/>
                <w:sz w:val="20"/>
              </w:rPr>
            </w:pPr>
            <w:bookmarkStart w:id="12" w:name="xdx_90A_edei--EntityAddressPostalZipCode"/>
            <w:bookmarkEnd w:id="12"/>
            <w:r>
              <w:rPr>
                <w:b/>
                <w:sz w:val="20"/>
              </w:rPr>
              <w:t>10007</w:t>
            </w:r>
          </w:p>
        </w:tc>
      </w:tr>
      <w:tr>
        <w:trPr/>
        <w:tc>
          <w:tcPr>
            <w:tcW w:w="327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C_edei--CityAreaCode_c20260908__20"/>
      <w:bookmarkEnd w:id="13"/>
      <w:r>
        <w:rPr>
          <w:rFonts w:ascii="Times New Roman;Times;Serif" w:hAnsi="Times New Roman;Times;Serif"/>
          <w:b/>
          <w:i w:val="false"/>
          <w:caps w:val="false"/>
          <w:smallCaps w:val="false"/>
          <w:sz w:val="20"/>
        </w:rPr>
        <w:t xml:space="preserve">212) </w:t>
      </w:r>
      <w:bookmarkStart w:id="14" w:name="xdx_90B_edei--LocalPhoneNumber_c20260908"/>
      <w:bookmarkEnd w:id="14"/>
      <w:r>
        <w:rPr>
          <w:rFonts w:ascii="Times New Roman;Times;Serif" w:hAnsi="Times New Roman;Times;Serif"/>
          <w:b/>
          <w:i w:val="false"/>
          <w:caps w:val="false"/>
          <w:smallCaps w:val="false"/>
          <w:sz w:val="20"/>
        </w:rPr>
        <w:t>600-9272</w:t>
      </w:r>
    </w:p>
    <w:p>
      <w:pPr>
        <w:pStyle w:val="TextBody"/>
        <w:bidi w:val="0"/>
        <w:spacing w:before="0" w:after="0"/>
        <w:ind w:left="0" w:right="0" w:hanging="0"/>
        <w:jc w:val="center"/>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4910"/>
      </w:tblGrid>
      <w:tr>
        <w:trPr/>
        <w:tc>
          <w:tcPr>
            <w:tcW w:w="4910" w:type="dxa"/>
            <w:tcBorders/>
            <w:vAlign w:val="center"/>
          </w:tcPr>
          <w:p>
            <w:pPr>
              <w:pStyle w:val="TableContents"/>
              <w:bidi w:val="0"/>
              <w:spacing w:before="0" w:after="283"/>
              <w:jc w:val="left"/>
              <w:rPr>
                <w:sz w:val="4"/>
                <w:szCs w:val="4"/>
              </w:rPr>
            </w:pPr>
            <w:r>
              <w:rPr>
                <w:sz w:val="4"/>
                <w:szCs w:val="4"/>
              </w:rPr>
            </w:r>
          </w:p>
        </w:tc>
      </w:tr>
      <w:tr>
        <w:trPr/>
        <w:tc>
          <w:tcPr>
            <w:tcW w:w="491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 xml:space="preserve">N/A </w:t>
            </w:r>
          </w:p>
        </w:tc>
      </w:tr>
      <w:tr>
        <w:trPr/>
        <w:tc>
          <w:tcPr>
            <w:tcW w:w="4910" w:type="dxa"/>
            <w:tcBorders/>
            <w:vAlign w:val="center"/>
          </w:tcPr>
          <w:p>
            <w:pPr>
              <w:pStyle w:val="TableContents"/>
              <w:bidi w:val="0"/>
              <w:spacing w:before="0" w:after="283"/>
              <w:jc w:val="center"/>
              <w:rPr>
                <w:sz w:val="20"/>
              </w:rPr>
            </w:pPr>
            <w:r>
              <w:rPr>
                <w:sz w:val="20"/>
              </w:rPr>
              <w:t>(Former name or former address, if changed since last report)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490" w:type="dxa"/>
        <w:jc w:val="left"/>
        <w:tblInd w:w="0" w:type="dxa"/>
        <w:tblLayout w:type="fixed"/>
        <w:tblCellMar>
          <w:top w:w="45" w:type="dxa"/>
          <w:left w:w="45" w:type="dxa"/>
          <w:bottom w:w="45" w:type="dxa"/>
          <w:right w:w="45" w:type="dxa"/>
        </w:tblCellMar>
      </w:tblPr>
      <w:tblGrid>
        <w:gridCol w:w="335"/>
        <w:gridCol w:w="9155"/>
      </w:tblGrid>
      <w:tr>
        <w:trPr/>
        <w:tc>
          <w:tcPr>
            <w:tcW w:w="335" w:type="dxa"/>
            <w:tcBorders/>
            <w:vAlign w:val="center"/>
          </w:tcPr>
          <w:p>
            <w:pPr>
              <w:pStyle w:val="TableContents"/>
              <w:bidi w:val="0"/>
              <w:spacing w:before="0" w:after="283"/>
              <w:jc w:val="left"/>
              <w:rPr/>
            </w:pPr>
            <w:bookmarkStart w:id="15" w:name="xdx_903_edei--WrittenCommunications_c202"/>
            <w:bookmarkEnd w:id="15"/>
            <w:r>
              <w:rPr/>
              <w:t>☐</w:t>
            </w:r>
          </w:p>
        </w:tc>
        <w:tc>
          <w:tcPr>
            <w:tcW w:w="915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335" w:type="dxa"/>
            <w:tcBorders/>
            <w:vAlign w:val="center"/>
          </w:tcPr>
          <w:p>
            <w:pPr>
              <w:pStyle w:val="TableContents"/>
              <w:bidi w:val="0"/>
              <w:spacing w:before="0" w:after="283"/>
              <w:jc w:val="left"/>
              <w:rPr/>
            </w:pPr>
            <w:bookmarkStart w:id="16" w:name="xdx_90D_edei--SolicitingMaterial_c202609"/>
            <w:bookmarkEnd w:id="16"/>
            <w:r>
              <w:rPr/>
              <w:t>☒</w:t>
            </w:r>
          </w:p>
        </w:tc>
        <w:tc>
          <w:tcPr>
            <w:tcW w:w="915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335" w:type="dxa"/>
            <w:tcBorders/>
            <w:vAlign w:val="center"/>
          </w:tcPr>
          <w:p>
            <w:pPr>
              <w:pStyle w:val="TableContents"/>
              <w:bidi w:val="0"/>
              <w:spacing w:before="0" w:after="283"/>
              <w:jc w:val="left"/>
              <w:rPr/>
            </w:pPr>
            <w:bookmarkStart w:id="17" w:name="xdx_907_edei--PreCommencementTenderOffer"/>
            <w:bookmarkEnd w:id="17"/>
            <w:r>
              <w:rPr/>
              <w:t>☐</w:t>
            </w:r>
          </w:p>
        </w:tc>
        <w:tc>
          <w:tcPr>
            <w:tcW w:w="915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335" w:type="dxa"/>
            <w:tcBorders/>
            <w:vAlign w:val="center"/>
          </w:tcPr>
          <w:p>
            <w:pPr>
              <w:pStyle w:val="TableContents"/>
              <w:bidi w:val="0"/>
              <w:spacing w:before="0" w:after="283"/>
              <w:jc w:val="left"/>
              <w:rPr/>
            </w:pPr>
            <w:bookmarkStart w:id="18" w:name="xdx_904_edei--PreCommencementIssuerTende"/>
            <w:bookmarkEnd w:id="18"/>
            <w:r>
              <w:rPr/>
              <w:t>☐</w:t>
            </w:r>
          </w:p>
        </w:tc>
        <w:tc>
          <w:tcPr>
            <w:tcW w:w="915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330" w:type="dxa"/>
        <w:jc w:val="left"/>
        <w:tblInd w:w="0" w:type="dxa"/>
        <w:tblLayout w:type="fixed"/>
        <w:tblCellMar>
          <w:top w:w="0" w:type="dxa"/>
          <w:left w:w="0" w:type="dxa"/>
          <w:bottom w:w="0" w:type="dxa"/>
          <w:right w:w="0" w:type="dxa"/>
        </w:tblCellMar>
      </w:tblPr>
      <w:tblGrid>
        <w:gridCol w:w="3410"/>
        <w:gridCol w:w="300"/>
        <w:gridCol w:w="1610"/>
        <w:gridCol w:w="300"/>
        <w:gridCol w:w="3710"/>
      </w:tblGrid>
      <w:tr>
        <w:trPr/>
        <w:tc>
          <w:tcPr>
            <w:tcW w:w="341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283"/>
              <w:jc w:val="left"/>
              <w:rPr/>
            </w:pPr>
            <w:r>
              <w:rPr/>
              <w:t> </w:t>
            </w:r>
          </w:p>
        </w:tc>
      </w:tr>
      <w:tr>
        <w:trPr/>
        <w:tc>
          <w:tcPr>
            <w:tcW w:w="341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Title of each class</w:t>
            </w:r>
          </w:p>
        </w:tc>
        <w:tc>
          <w:tcPr>
            <w:tcW w:w="300" w:type="dxa"/>
            <w:tcBorders/>
            <w:vAlign w:val="center"/>
          </w:tcPr>
          <w:p>
            <w:pPr>
              <w:pStyle w:val="TableContents"/>
              <w:bidi w:val="0"/>
              <w:spacing w:before="0" w:after="283"/>
              <w:jc w:val="left"/>
              <w:rPr/>
            </w:pPr>
            <w:r>
              <w:rPr/>
              <w:t>     </w:t>
            </w:r>
          </w:p>
        </w:tc>
        <w:tc>
          <w:tcPr>
            <w:tcW w:w="161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Trading Symbol(s)</w:t>
            </w:r>
          </w:p>
        </w:tc>
        <w:tc>
          <w:tcPr>
            <w:tcW w:w="300" w:type="dxa"/>
            <w:tcBorders/>
            <w:vAlign w:val="center"/>
          </w:tcPr>
          <w:p>
            <w:pPr>
              <w:pStyle w:val="TableContents"/>
              <w:bidi w:val="0"/>
              <w:spacing w:before="0" w:after="283"/>
              <w:jc w:val="left"/>
              <w:rPr/>
            </w:pPr>
            <w:r>
              <w:rPr/>
              <w:t>     </w:t>
            </w:r>
          </w:p>
        </w:tc>
        <w:tc>
          <w:tcPr>
            <w:tcW w:w="3710"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pPr>
            <w:r>
              <w:rPr/>
              <w:t> </w:t>
            </w:r>
          </w:p>
        </w:tc>
        <w:tc>
          <w:tcPr>
            <w:tcW w:w="30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pPr>
            <w:r>
              <w:rPr/>
              <w:t> </w:t>
            </w:r>
          </w:p>
        </w:tc>
      </w:tr>
      <w:tr>
        <w:trPr/>
        <w:tc>
          <w:tcPr>
            <w:tcW w:w="3410" w:type="dxa"/>
            <w:tcBorders/>
            <w:vAlign w:val="center"/>
          </w:tcPr>
          <w:p>
            <w:pPr>
              <w:pStyle w:val="TableContents"/>
              <w:bidi w:val="0"/>
              <w:spacing w:before="0" w:after="283"/>
              <w:jc w:val="left"/>
              <w:rPr>
                <w:sz w:val="20"/>
              </w:rPr>
            </w:pPr>
            <w:bookmarkStart w:id="19" w:name="xdx_90B_edei--Security12bTitle_c20260908"/>
            <w:bookmarkEnd w:id="19"/>
            <w:r>
              <w:rPr>
                <w:sz w:val="20"/>
              </w:rPr>
              <w:t>Common Stock, par value $0.01 per share</w:t>
            </w:r>
          </w:p>
        </w:tc>
        <w:tc>
          <w:tcPr>
            <w:tcW w:w="30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sz w:val="20"/>
              </w:rPr>
            </w:pPr>
            <w:bookmarkStart w:id="20" w:name="xdx_904_edei--TradingSymbol_c20260908__2"/>
            <w:bookmarkEnd w:id="20"/>
            <w:r>
              <w:rPr>
                <w:sz w:val="20"/>
              </w:rPr>
              <w:t>PAYO</w:t>
            </w:r>
          </w:p>
        </w:tc>
        <w:tc>
          <w:tcPr>
            <w:tcW w:w="300" w:type="dxa"/>
            <w:tcBorders/>
            <w:vAlign w:val="center"/>
          </w:tcPr>
          <w:p>
            <w:pPr>
              <w:pStyle w:val="TableContents"/>
              <w:bidi w:val="0"/>
              <w:spacing w:before="0" w:after="283"/>
              <w:jc w:val="center"/>
              <w:rPr/>
            </w:pPr>
            <w:r>
              <w:rPr/>
              <w:t> </w:t>
            </w:r>
          </w:p>
        </w:tc>
        <w:tc>
          <w:tcPr>
            <w:tcW w:w="3710" w:type="dxa"/>
            <w:tcBorders/>
            <w:vAlign w:val="center"/>
          </w:tcPr>
          <w:p>
            <w:pPr>
              <w:pStyle w:val="TableContents"/>
              <w:bidi w:val="0"/>
              <w:spacing w:before="0" w:after="283"/>
              <w:jc w:val="center"/>
              <w:rPr>
                <w:sz w:val="20"/>
              </w:rPr>
            </w:pPr>
            <w:bookmarkStart w:id="21" w:name="xdx_909_edei--SecurityExchangeName_c2026"/>
            <w:bookmarkEnd w:id="21"/>
            <w:r>
              <w:rPr>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(Sec.230.405 of this chapter) or Rule 12b-2 of the Securities Exchange Act of 1934 (Sec.240.12b-2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11, 2026, Payoneer Global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Payoneer</w:t>
      </w:r>
      <w:r>
        <w:rPr>
          <w:rFonts w:ascii="Times New Roman;Times;Serif" w:hAnsi="Times New Roman;Times;Serif"/>
          <w:b w:val="false"/>
          <w:i w:val="false"/>
          <w:caps w:val="false"/>
          <w:smallCaps w:val="false"/>
          <w:sz w:val="20"/>
        </w:rPr>
        <w:t>”), filed its definitive proxy statement on Schedule 14A (as such may be supplemented from time to time,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with respect to the special meeting of Payoneer’s stockholders (the “</w:t>
      </w:r>
      <w:r>
        <w:rPr>
          <w:rFonts w:ascii="Times New Roman;Times;Serif" w:hAnsi="Times New Roman;Times;Serif"/>
          <w:b w:val="false"/>
          <w:i w:val="false"/>
          <w:caps w:val="false"/>
          <w:smallCaps w:val="false"/>
          <w:sz w:val="20"/>
          <w:u w:val="single"/>
        </w:rPr>
        <w:t>Special Meeting</w:t>
      </w:r>
      <w:r>
        <w:rPr>
          <w:rFonts w:ascii="Times New Roman;Times;Serif" w:hAnsi="Times New Roman;Times;Serif"/>
          <w:b w:val="false"/>
          <w:i w:val="false"/>
          <w:caps w:val="false"/>
          <w:smallCaps w:val="false"/>
          <w:sz w:val="20"/>
        </w:rPr>
        <w:t>”) to be held in connection with the transactions contemplated by that certain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dated as of June 12, 2026, by and among the Company, Neon Maple Parent Inc., a corporation incorporated pursuant to the laws of Canada (“</w:t>
      </w:r>
      <w:r>
        <w:rPr>
          <w:rFonts w:ascii="Times New Roman;Times;Serif" w:hAnsi="Times New Roman;Times;Serif"/>
          <w:b w:val="false"/>
          <w:i w:val="false"/>
          <w:caps w:val="false"/>
          <w:smallCaps w:val="false"/>
          <w:sz w:val="20"/>
          <w:u w:val="single"/>
        </w:rPr>
        <w:t>Nuvei Parent</w:t>
      </w:r>
      <w:r>
        <w:rPr>
          <w:rFonts w:ascii="Times New Roman;Times;Serif" w:hAnsi="Times New Roman;Times;Serif"/>
          <w:b w:val="false"/>
          <w:i w:val="false"/>
          <w:caps w:val="false"/>
          <w:smallCaps w:val="false"/>
          <w:sz w:val="20"/>
        </w:rPr>
        <w:t>”), and Panda Acquisition Sub Inc., a Delaware corporation and wholly owned indirect subsidiary of Nuvei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pursuant to which Merger Sub will merge with and into the Company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the Company surviving as a wholly owned subsidiary of Nuvei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Special Meeting is scheduled for September 14, 2026, beginning at 9:00 a.m. Eastern Time. Payoneer’s stockholders of record as of the close of business on August 6, 2026 will be eligible to vote at the Special Meeting. The information contained in this Current Report on Form 8-K (this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should be read in conjunction with the Proxy Statement, which should be read in its entirety.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Litigation Relating to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Form 8-K, two lawsuits relating to the Merger (the “</w:t>
      </w:r>
      <w:r>
        <w:rPr>
          <w:rFonts w:ascii="Times New Roman;Times;Serif" w:hAnsi="Times New Roman;Times;Serif"/>
          <w:b w:val="false"/>
          <w:i w:val="false"/>
          <w:caps w:val="false"/>
          <w:smallCaps w:val="false"/>
          <w:sz w:val="20"/>
          <w:u w:val="single"/>
        </w:rPr>
        <w:t>Lawsuits</w:t>
      </w:r>
      <w:r>
        <w:rPr>
          <w:rFonts w:ascii="Times New Roman;Times;Serif" w:hAnsi="Times New Roman;Times;Serif"/>
          <w:b w:val="false"/>
          <w:i w:val="false"/>
          <w:caps w:val="false"/>
          <w:smallCaps w:val="false"/>
          <w:sz w:val="20"/>
        </w:rPr>
        <w:t xml:space="preserve">”) have been filed: (i) </w:t>
      </w:r>
      <w:r>
        <w:rPr>
          <w:rFonts w:ascii="Times New Roman;Times;Serif" w:hAnsi="Times New Roman;Times;Serif"/>
          <w:b w:val="false"/>
          <w:i/>
          <w:caps w:val="false"/>
          <w:smallCaps w:val="false"/>
          <w:sz w:val="20"/>
        </w:rPr>
        <w:t xml:space="preserve">Kevin Turner v. Payoneer Global Inc., et al. Index No. 654853/2026, </w:t>
      </w:r>
      <w:r>
        <w:rPr>
          <w:rFonts w:ascii="Times New Roman;Times;Serif" w:hAnsi="Times New Roman;Times;Serif"/>
          <w:b w:val="false"/>
          <w:i w:val="false"/>
          <w:caps w:val="false"/>
          <w:smallCaps w:val="false"/>
          <w:sz w:val="20"/>
        </w:rPr>
        <w:t xml:space="preserve">which was filed on August 20, 2026; and (ii) </w:t>
      </w:r>
      <w:r>
        <w:rPr>
          <w:rFonts w:ascii="Times New Roman;Times;Serif" w:hAnsi="Times New Roman;Times;Serif"/>
          <w:b w:val="false"/>
          <w:i/>
          <w:caps w:val="false"/>
          <w:smallCaps w:val="false"/>
          <w:sz w:val="20"/>
        </w:rPr>
        <w:t xml:space="preserve">John Clark vs. Payoneer Global Inc., et al. Index No. 654863/2026, </w:t>
      </w:r>
      <w:r>
        <w:rPr>
          <w:rFonts w:ascii="Times New Roman;Times;Serif" w:hAnsi="Times New Roman;Times;Serif"/>
          <w:b w:val="false"/>
          <w:i w:val="false"/>
          <w:caps w:val="false"/>
          <w:smallCaps w:val="false"/>
          <w:sz w:val="20"/>
        </w:rPr>
        <w:t>which was filed on August 21, 2026, both of which were filed in the Supreme Court of the State of New York, County of New York. The Lawsuits were filed by purported stockholders of the Company as individual actions and allege that the Proxy Statement was materially incomplete due to certain misrepresentations and omissions in violation of New York common law. The Lawsuits name as defendants the Company’s directors and the Company and seek, among other relief, an order enjoining the consummation of the Merger. There can be no assurance regarding the ultimate outcome of the Lawsuits.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this Form 8-K, the Company has also received demand letters from purported stockholders of the Company (i) alleging that the Proxy Statement was materially incomplete due to certain misrepresentations and omissions and demanding corrective disclosures to address such allegations or (ii) demanding access to the Company’s books and records to investigate certain aspects of the Merger (the “</w:t>
      </w:r>
      <w:r>
        <w:rPr>
          <w:rFonts w:ascii="Times New Roman;Times;Serif" w:hAnsi="Times New Roman;Times;Serif"/>
          <w:b w:val="false"/>
          <w:i w:val="false"/>
          <w:caps w:val="false"/>
          <w:smallCaps w:val="false"/>
          <w:sz w:val="20"/>
          <w:u w:val="single"/>
        </w:rPr>
        <w:t>Letters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additional, similar complaints may be filed or letters may be received, or that the Lawsuits described above may be amended. If this occurs, the Company does not intend to announce the filing or receipt of each additional, similar complaint, letter or any amended complaint, unless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the claims asserted in the Lawsuits and Letters are without merit. However, in order to moot the unmeritorious disclosure claims and alleviate the costs, risks and uncertainties inherent in potential litigation, the Company has determined to voluntarily supplement the Proxy Statement as described in this Form 8-K. Nothing in this Form 8-K shall be deemed an admission of the legal necessity or materiality under applicable laws of any of the disclosures set forth herein. To the contrary, the Company specifically denies all allegations set forth in the Lawsuits and Letters that any additional disclosure in the Proxy Statement was or is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Supplemental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disclosures supplement the disclosures contained in the Proxy Statement and should be read in conjunction with the disclosures contained in the Proxy Statement, which should be read in its entirety. To the extent the information set forth herein differs from or updates information contained in the Proxy Statement, the information set forth herein shall supersede or supplement the information in the Proxy Statement. All page references are to pages in the Proxy Statement, and terms used below, unless otherwise defined, have the meanings set forth in the Proxy Statement. For clarity, new text within restated paragraphs from the Proxy Statement is highlighted with </w:t>
      </w:r>
      <w:r>
        <w:rPr>
          <w:rFonts w:ascii="Times New Roman;Times;Serif" w:hAnsi="Times New Roman;Times;Serif"/>
          <w:b/>
          <w:i w:val="false"/>
          <w:caps w:val="false"/>
          <w:smallCaps w:val="false"/>
          <w:sz w:val="20"/>
          <w:u w:val="single"/>
        </w:rPr>
        <w:t>bold, underlined text.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(a)</w:t>
            </w:r>
          </w:p>
        </w:tc>
        <w:tc>
          <w:tcPr>
            <w:tcW w:w="9966" w:type="dxa"/>
            <w:tcBorders/>
            <w:vAlign w:val="center"/>
          </w:tcPr>
          <w:p>
            <w:pPr>
              <w:pStyle w:val="TableContents"/>
              <w:bidi w:val="0"/>
              <w:spacing w:before="0" w:after="283"/>
              <w:jc w:val="left"/>
              <w:rPr>
                <w:i/>
                <w:sz w:val="20"/>
              </w:rPr>
            </w:pPr>
            <w:r>
              <w:rPr>
                <w:i/>
                <w:sz w:val="20"/>
              </w:rPr>
              <w:t>In the section of the Proxy Statement titled “The Merger (Proposal 1)—Background of the Merger” the disclosure in the seventh full paragraph on page 38 is amended by replacing such paragraph with the following:</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11, 2025, the Payoneer Board of Directors held a regularly scheduled meeting during which, among other things, management provided an update regarding recent discussions with Party E and Nuvei Parent. Subsequently, on December 14, 2025, the Payoneer Board of Directors reinstated the advisory committee (the “Advisory Committee”), consisting of Ms. Patsley, Christopher (Woody) Marshall and Mr. Williams via action by written consent to advise on and review with management and Payoneer’s advisors, as the case may be, exploratory strategic opportunities. </w:t>
      </w:r>
      <w:r>
        <w:rPr>
          <w:rFonts w:ascii="Times New Roman;Times;Serif" w:hAnsi="Times New Roman;Times;Serif"/>
          <w:b/>
          <w:i w:val="false"/>
          <w:caps w:val="false"/>
          <w:smallCaps w:val="false"/>
          <w:sz w:val="20"/>
          <w:u w:val="single"/>
        </w:rPr>
        <w:t>In re-instating the Advisory Committee, the Payoneer Board of Directors was familiar with Mr. Marshall’s role as a general partner of TCV and his position as a director, member and limited partner of investment vehicles controlled by TCV. The Payoneer Board of Directors was further aware of Mr. Marshall’s and TCV’s professional relationship with Advent. The Payoneer Board of Directors did not believe that such relationship would impair Mr. Marshall’s independence or his ability to discharge his duties as a member of the Advisory Committee, including because such professional relationships are common among financial sponsors that make investments in the financial services industry, such as TCV and Advent, and neither Mr. Marshall nor TCV had any agreement or understanding with Advent concerning the Merger. Accordingly, the Payoneer Board of Directors did not believe that Mr. Marshall’s participation on the Advisory Committee presented a conflict of interest. Payoneer notes that investment vehicles sponsored by TCV have made investments in certain portfolio companies alongside investments by investment vehicles sponsored by Advent and that all such investments were made on arms’ length terms.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7"/>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20"/>
              </w:rPr>
            </w:pPr>
            <w:r>
              <w:rPr>
                <w:sz w:val="20"/>
              </w:rPr>
              <w:t>(b)</w:t>
            </w:r>
          </w:p>
        </w:tc>
        <w:tc>
          <w:tcPr>
            <w:tcW w:w="9950" w:type="dxa"/>
            <w:tcBorders/>
            <w:vAlign w:val="center"/>
          </w:tcPr>
          <w:p>
            <w:pPr>
              <w:pStyle w:val="TableContents"/>
              <w:bidi w:val="0"/>
              <w:spacing w:before="0" w:after="283"/>
              <w:jc w:val="left"/>
              <w:rPr>
                <w:i/>
                <w:sz w:val="20"/>
              </w:rPr>
            </w:pPr>
            <w:r>
              <w:rPr>
                <w:i/>
                <w:sz w:val="20"/>
              </w:rPr>
              <w:t>In the section of the Proxy Statement titled “The Merger (Proposal 1)—Background of the Merger” the disclosure in the fourth full paragraph on page 39 is amended by replacing such paragraph with the following:</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Later on December 30, 2025, the Advisory Committee held a meeting, at which representatives of Qatalyst Partners and Davis Polk were present, to review the December 30 Proposal. </w:t>
      </w:r>
      <w:r>
        <w:rPr>
          <w:rFonts w:ascii="Times New Roman;Times;Serif" w:hAnsi="Times New Roman;Times;Serif"/>
          <w:b/>
          <w:i w:val="false"/>
          <w:caps w:val="false"/>
          <w:smallCaps w:val="false"/>
          <w:sz w:val="20"/>
          <w:u w:val="single"/>
        </w:rPr>
        <w:t>At the meeting, the Advisory Committee was informed that Davis Polk had previously represented Nuvei Parent and its affiliates in, among other matters, its take-private by Advent in 2024, and that Davis Polk continued to represent Nuvei Parent and its affiliates in other matters unrelated to the proposed transaction with Payoneer. The Advisory Committee did not believe that such matters presented a conflict of interest given such matters were unrelated to Payoneer’s negotiations with Nuvei Parent and such matters were not material to Davis Polk (such matters collectively generated approximately $6 million in revenue for Davis Polk from January 1, 2024 through the date of entry into the Merger Agreement, or less than 0.1% of Davis Polk’s revenues over the same period). Davis Polk’s representations of Nuvei Parent and its affiliates was also discussed at subsequent meetings of the Payoneer Board of Directors, and the Payoneer Board of Directors did not believe that Davis Polk’s participation presented a conflict of interest.</w:t>
      </w:r>
      <w:r>
        <w:rPr>
          <w:rFonts w:ascii="Times New Roman;Times;Serif" w:hAnsi="Times New Roman;Times;Serif"/>
          <w:b w:val="false"/>
          <w:i w:val="false"/>
          <w:caps w:val="false"/>
          <w:smallCaps w:val="false"/>
          <w:sz w:val="20"/>
        </w:rPr>
        <w:t xml:space="preserve"> Representatives of Qatalyst Partners summarized the principal terms of the proposal </w:t>
      </w:r>
      <w:r>
        <w:rPr>
          <w:rFonts w:ascii="Times New Roman;Times;Serif" w:hAnsi="Times New Roman;Times;Serif"/>
          <w:b/>
          <w:i w:val="false"/>
          <w:caps w:val="false"/>
          <w:smallCaps w:val="false"/>
          <w:sz w:val="20"/>
          <w:u w:val="single"/>
        </w:rPr>
        <w:t>at such meeting</w:t>
      </w:r>
      <w:r>
        <w:rPr>
          <w:rFonts w:ascii="Times New Roman;Times;Serif" w:hAnsi="Times New Roman;Times;Serif"/>
          <w:b w:val="false"/>
          <w:i w:val="false"/>
          <w:caps w:val="false"/>
          <w:smallCaps w:val="false"/>
          <w:sz w:val="20"/>
        </w:rPr>
        <w:t xml:space="preserve"> and reviewed Nuvei Parent’s diligence process to date. Representatives of Qatalyst Partners also updated the Advisory Committee regarding discussions with Party E. Following discussion, the Advisory Committee expressed the view that the December 30 Proposal did not meet Payoneer’s expectations and supported representatives of Payoneer management and Qatalyst Partners (i) informing Nuvei Parent that its proposal did not meet expectations, (ii) continuing to provide Nuvei Parent with access to Payoneer management and additional non-public information of Payoneer to facilitate the submission of an improved proposal and (iii) initiating outreach to certain financial sponsors and strategic counterparties that the Advisory Committee believed were the most likely to have an interest in acquiring Payoneer.</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i/>
              </w:rPr>
            </w:pPr>
            <w:r>
              <w:rPr>
                <w:i/>
              </w:rPr>
              <w:t>(c)</w:t>
            </w:r>
          </w:p>
        </w:tc>
        <w:tc>
          <w:tcPr>
            <w:tcW w:w="9936" w:type="dxa"/>
            <w:tcBorders/>
            <w:vAlign w:val="center"/>
          </w:tcPr>
          <w:p>
            <w:pPr>
              <w:pStyle w:val="TableContents"/>
              <w:bidi w:val="0"/>
              <w:spacing w:before="0" w:after="283"/>
              <w:jc w:val="left"/>
              <w:rPr>
                <w:i/>
              </w:rPr>
            </w:pPr>
            <w:r>
              <w:rPr>
                <w:i/>
              </w:rPr>
              <w:t>In the section of the Proxy Statement titled “The Merger (Proposal 1)— Summary of Qatalyst Partners’ Financial Analyses” the disclosure in paragraph (c) on page 54 is amended by replacing such paragraph with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(c)</w:t>
            </w:r>
          </w:p>
        </w:tc>
        <w:tc>
          <w:tcPr>
            <w:tcW w:w="9931" w:type="dxa"/>
            <w:tcBorders/>
            <w:vAlign w:val="center"/>
          </w:tcPr>
          <w:p>
            <w:pPr>
              <w:pStyle w:val="TableContents"/>
              <w:bidi w:val="0"/>
              <w:spacing w:before="0" w:after="283"/>
              <w:jc w:val="both"/>
              <w:rPr/>
            </w:pPr>
            <w:r>
              <w:rPr/>
              <w:t xml:space="preserve">the cash and cash equivalents of Payoneer as of March 31, 2026 </w:t>
            </w:r>
            <w:r>
              <w:rPr>
                <w:b/>
                <w:u w:val="single"/>
              </w:rPr>
              <w:t>of approximately $339 million</w:t>
            </w:r>
            <w:r>
              <w:rPr/>
              <w:t>, as disclosed in Payoneer’s Quarterly Report on Form 10-Q for the period ended March 31, 2026;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i/>
              </w:rPr>
            </w:pPr>
            <w:r>
              <w:rPr>
                <w:i/>
              </w:rPr>
              <w:t>(d)</w:t>
            </w:r>
          </w:p>
        </w:tc>
        <w:tc>
          <w:tcPr>
            <w:tcW w:w="9930" w:type="dxa"/>
            <w:tcBorders/>
            <w:vAlign w:val="center"/>
          </w:tcPr>
          <w:p>
            <w:pPr>
              <w:pStyle w:val="TableContents"/>
              <w:bidi w:val="0"/>
              <w:spacing w:before="0" w:after="283"/>
              <w:jc w:val="left"/>
              <w:rPr>
                <w:i/>
              </w:rPr>
            </w:pPr>
            <w:r>
              <w:rPr>
                <w:i/>
              </w:rPr>
              <w:t>In the section of the Proxy Statement titled “The Merger (Proposal 1)— Summary of Qatalyst Partners’ Financial Analyses” the Selected Moderate-Growth Payments Companies and Selected High-Growth Payments Companies tables on pages 54-55 are amended by replacing such tables with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7575" w:type="dxa"/>
        <w:jc w:val="left"/>
        <w:tblInd w:w="0" w:type="dxa"/>
        <w:tblLayout w:type="fixed"/>
        <w:tblCellMar>
          <w:top w:w="0" w:type="dxa"/>
          <w:left w:w="0" w:type="dxa"/>
          <w:bottom w:w="28" w:type="dxa"/>
          <w:right w:w="0" w:type="dxa"/>
        </w:tblCellMar>
      </w:tblPr>
      <w:tblGrid>
        <w:gridCol w:w="4220"/>
        <w:gridCol w:w="1730"/>
        <w:gridCol w:w="120"/>
        <w:gridCol w:w="1505"/>
      </w:tblGrid>
      <w:tr>
        <w:trPr/>
        <w:tc>
          <w:tcPr>
            <w:tcW w:w="4220" w:type="dxa"/>
            <w:tcBorders>
              <w:bottom w:val="single" w:sz="8" w:space="0" w:color="000000"/>
            </w:tcBorders>
            <w:vAlign w:val="center"/>
          </w:tcPr>
          <w:p>
            <w:pPr>
              <w:pStyle w:val="TableContents"/>
              <w:bidi w:val="0"/>
              <w:spacing w:before="0" w:after="283"/>
              <w:jc w:val="left"/>
              <w:rPr>
                <w:b/>
                <w:sz w:val="20"/>
              </w:rPr>
            </w:pPr>
            <w:r>
              <w:rPr>
                <w:b/>
                <w:sz w:val="20"/>
              </w:rPr>
              <w:t>Selected Moderate-Growth Payments Companies</w:t>
            </w:r>
          </w:p>
        </w:tc>
        <w:tc>
          <w:tcPr>
            <w:tcW w:w="173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Fully Diluted</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Enterprise Value</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(amount in billions)</w:t>
            </w:r>
          </w:p>
        </w:tc>
        <w:tc>
          <w:tcPr>
            <w:tcW w:w="120" w:type="dxa"/>
            <w:tcBorders>
              <w:bottom w:val="single" w:sz="8" w:space="0" w:color="000000"/>
            </w:tcBorders>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CY26E EBITDA</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Multiple</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Corpay,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$28.9</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10.7x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BILL Holdings, Inc.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$2.8</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8.4x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Shift4 Payments,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$8.5</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ind w:left="0" w:right="0" w:firstLine="15"/>
              <w:jc w:val="left"/>
              <w:rPr>
                <w:sz w:val="20"/>
              </w:rPr>
            </w:pPr>
            <w:r>
              <w:rPr>
                <w:sz w:val="20"/>
              </w:rPr>
              <w:t>7.5x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Fiserv, Inc.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$56.5</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6.2x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Global Payments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$35.7</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6.2x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Paysafe Ltd</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$2.7</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5.9x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PayPal Holdings,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$37.7</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5.5x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WEX Inc.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$4.7</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3.8x</w:t>
            </w:r>
          </w:p>
        </w:tc>
      </w:tr>
      <w:tr>
        <w:trPr/>
        <w:tc>
          <w:tcPr>
            <w:tcW w:w="4220"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Selected High-Growth Payments Companies</w:t>
            </w:r>
          </w:p>
        </w:tc>
        <w:tc>
          <w:tcPr>
            <w:tcW w:w="1730" w:type="dxa"/>
            <w:tcBorders>
              <w:bottom w:val="single" w:sz="8" w:space="0" w:color="000000"/>
            </w:tcBorders>
            <w:vAlign w:val="center"/>
          </w:tcPr>
          <w:p>
            <w:pPr>
              <w:pStyle w:val="TableContents"/>
              <w:bidi w:val="0"/>
              <w:spacing w:before="0" w:after="283"/>
              <w:jc w:val="left"/>
              <w:rPr/>
            </w:pPr>
            <w:r>
              <w:rPr/>
              <w:t> </w:t>
            </w:r>
          </w:p>
        </w:tc>
        <w:tc>
          <w:tcPr>
            <w:tcW w:w="120" w:type="dxa"/>
            <w:tcBorders>
              <w:bottom w:val="single" w:sz="8" w:space="0" w:color="000000"/>
            </w:tcBorders>
            <w:vAlign w:val="center"/>
          </w:tcPr>
          <w:p>
            <w:pPr>
              <w:pStyle w:val="TableContents"/>
              <w:bidi w:val="0"/>
              <w:spacing w:before="0" w:after="283"/>
              <w:jc w:val="left"/>
              <w:rPr/>
            </w:pPr>
            <w:r>
              <w:rPr/>
              <w:t> </w:t>
            </w:r>
          </w:p>
        </w:tc>
        <w:tc>
          <w:tcPr>
            <w:tcW w:w="1505"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CY26E EBITDA</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Multiple</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Navan,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$5.5</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Paymentus Holdings, Inc.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$2.4</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14.0x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Adyen N.V.</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$23.3</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12.9x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Wise Group plc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$9.3</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12.6x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Flywire Corporation</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$1.7</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10.3x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Remitly Global, Inc.</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$3.7</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9.8x</w:t>
            </w:r>
          </w:p>
        </w:tc>
      </w:tr>
      <w:tr>
        <w:trPr/>
        <w:tc>
          <w:tcPr>
            <w:tcW w:w="4220" w:type="dxa"/>
            <w:tcBorders/>
            <w:shd w:fill="CCEDFF" w:val="clear"/>
            <w:tcMar>
              <w:top w:w="30" w:type="dxa"/>
              <w:left w:w="30" w:type="dxa"/>
              <w:bottom w:w="30" w:type="dxa"/>
              <w:right w:w="30" w:type="dxa"/>
            </w:tcMar>
            <w:vAlign w:val="center"/>
          </w:tcPr>
          <w:p>
            <w:pPr>
              <w:pStyle w:val="TableContents"/>
              <w:bidi w:val="0"/>
              <w:spacing w:before="0" w:after="283"/>
              <w:jc w:val="left"/>
              <w:rPr>
                <w:sz w:val="20"/>
              </w:rPr>
            </w:pPr>
            <w:r>
              <w:rPr>
                <w:sz w:val="20"/>
              </w:rPr>
              <w:t>Block, Inc.</w:t>
            </w:r>
          </w:p>
        </w:tc>
        <w:tc>
          <w:tcPr>
            <w:tcW w:w="1730" w:type="dxa"/>
            <w:tcBorders/>
            <w:shd w:fill="CCEDFF" w:val="clear"/>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$42.7</w:t>
            </w:r>
          </w:p>
        </w:tc>
        <w:tc>
          <w:tcPr>
            <w:tcW w:w="120" w:type="dxa"/>
            <w:tcBorders/>
            <w:shd w:fill="CCEDFF" w:val="clear"/>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shd w:fill="CCEDFF" w:val="clear"/>
            <w:tcMar>
              <w:top w:w="30" w:type="dxa"/>
              <w:left w:w="30" w:type="dxa"/>
              <w:bottom w:w="30" w:type="dxa"/>
              <w:right w:w="3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9.2x</w:t>
            </w:r>
          </w:p>
        </w:tc>
      </w:tr>
      <w:tr>
        <w:trPr/>
        <w:tc>
          <w:tcPr>
            <w:tcW w:w="4220"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DLocal Limited</w:t>
            </w:r>
          </w:p>
        </w:tc>
        <w:tc>
          <w:tcPr>
            <w:tcW w:w="1730" w:type="dxa"/>
            <w:tcBorders/>
            <w:tcMar>
              <w:top w:w="30" w:type="dxa"/>
              <w:left w:w="30" w:type="dxa"/>
              <w:bottom w:w="30" w:type="dxa"/>
              <w:right w:w="30" w:type="dxa"/>
            </w:tcMar>
            <w:vAlign w:val="center"/>
          </w:tcPr>
          <w:p>
            <w:pPr>
              <w:pStyle w:val="TableContents"/>
              <w:bidi w:val="0"/>
              <w:spacing w:before="0" w:after="283"/>
              <w:jc w:val="center"/>
              <w:rPr>
                <w:b/>
                <w:sz w:val="20"/>
                <w:u w:val="single"/>
              </w:rPr>
            </w:pPr>
            <w:r>
              <w:rPr>
                <w:b/>
                <w:sz w:val="20"/>
                <w:u w:val="single"/>
              </w:rPr>
              <w:t>$2.9</w:t>
            </w:r>
          </w:p>
        </w:tc>
        <w:tc>
          <w:tcPr>
            <w:tcW w:w="120" w:type="dxa"/>
            <w:tcBorders/>
            <w:tcMar>
              <w:top w:w="30" w:type="dxa"/>
              <w:left w:w="30" w:type="dxa"/>
              <w:bottom w:w="30" w:type="dxa"/>
              <w:right w:w="30" w:type="dxa"/>
            </w:tcMar>
            <w:vAlign w:val="center"/>
          </w:tcPr>
          <w:p>
            <w:pPr>
              <w:pStyle w:val="TableContents"/>
              <w:bidi w:val="0"/>
              <w:spacing w:before="0" w:after="283"/>
              <w:jc w:val="left"/>
              <w:rPr/>
            </w:pPr>
            <w:r>
              <w:rPr/>
              <w:t> </w:t>
            </w:r>
          </w:p>
        </w:tc>
        <w:tc>
          <w:tcPr>
            <w:tcW w:w="1505" w:type="dxa"/>
            <w:tcBorders/>
            <w:tcMar>
              <w:top w:w="30" w:type="dxa"/>
              <w:left w:w="30" w:type="dxa"/>
              <w:bottom w:w="30" w:type="dxa"/>
              <w:right w:w="30" w:type="dxa"/>
            </w:tcMar>
            <w:vAlign w:val="center"/>
          </w:tcPr>
          <w:p>
            <w:pPr>
              <w:pStyle w:val="TableContents"/>
              <w:bidi w:val="0"/>
              <w:spacing w:before="0" w:after="283"/>
              <w:jc w:val="left"/>
              <w:rPr>
                <w:sz w:val="20"/>
              </w:rPr>
            </w:pPr>
            <w:r>
              <w:rPr>
                <w:sz w:val="20"/>
              </w:rPr>
              <w:t>8.7x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 In the section of the Proxy Statement titled “The Merger (Proposal 1)— Summary of Qatalyst Partners’ Financial Analyses” the Selected Transactions Analysis table on page 55 is amended by replacing such table with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30" w:type="dxa"/>
          <w:left w:w="30" w:type="dxa"/>
          <w:bottom w:w="30" w:type="dxa"/>
          <w:right w:w="30" w:type="dxa"/>
        </w:tblCellMar>
      </w:tblPr>
      <w:tblGrid>
        <w:gridCol w:w="1355"/>
        <w:gridCol w:w="2790"/>
        <w:gridCol w:w="120"/>
        <w:gridCol w:w="2775"/>
        <w:gridCol w:w="120"/>
        <w:gridCol w:w="1314"/>
        <w:gridCol w:w="1731"/>
      </w:tblGrid>
      <w:tr>
        <w:trPr/>
        <w:tc>
          <w:tcPr>
            <w:tcW w:w="1355" w:type="dxa"/>
            <w:tcBorders/>
            <w:vAlign w:val="center"/>
          </w:tcPr>
          <w:p>
            <w:pPr>
              <w:pStyle w:val="TableContents"/>
              <w:bidi w:val="0"/>
              <w:spacing w:before="0" w:after="283"/>
              <w:jc w:val="left"/>
              <w:rPr>
                <w:b/>
                <w:sz w:val="20"/>
              </w:rPr>
            </w:pPr>
            <w:r>
              <w:rPr>
                <w:b/>
                <w:sz w:val="20"/>
              </w:rPr>
              <w:t>Announcement</w:t>
            </w:r>
          </w:p>
        </w:tc>
        <w:tc>
          <w:tcPr>
            <w:tcW w:w="2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b/>
                <w:sz w:val="20"/>
              </w:rPr>
            </w:pPr>
            <w:r>
              <w:rPr>
                <w:b/>
                <w:sz w:val="20"/>
              </w:rPr>
              <w:t>NTM EBITDA</w:t>
            </w:r>
          </w:p>
        </w:tc>
        <w:tc>
          <w:tcPr>
            <w:tcW w:w="1731"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Fully Diluted</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Enterprise Value</w:t>
            </w:r>
          </w:p>
        </w:tc>
      </w:tr>
      <w:tr>
        <w:trPr/>
        <w:tc>
          <w:tcPr>
            <w:tcW w:w="135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b/>
                <w:sz w:val="20"/>
              </w:rPr>
            </w:pPr>
            <w:r>
              <w:rPr>
                <w:b/>
                <w:sz w:val="20"/>
              </w:rPr>
              <w:t>Date</w:t>
            </w:r>
          </w:p>
        </w:tc>
        <w:tc>
          <w:tcPr>
            <w:tcW w:w="279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b/>
                <w:sz w:val="20"/>
              </w:rPr>
            </w:pPr>
            <w:r>
              <w:rPr>
                <w:b/>
                <w:sz w:val="20"/>
              </w:rPr>
              <w:t>Target</w:t>
            </w:r>
          </w:p>
        </w:tc>
        <w:tc>
          <w:tcPr>
            <w:tcW w:w="120" w:type="dxa"/>
            <w:tcBorders/>
            <w:vAlign w:val="center"/>
          </w:tcPr>
          <w:p>
            <w:pPr>
              <w:pStyle w:val="TableContents"/>
              <w:bidi w:val="0"/>
              <w:spacing w:before="0" w:after="283"/>
              <w:jc w:val="left"/>
              <w:rPr/>
            </w:pPr>
            <w:r>
              <w:rPr/>
              <w:t> </w:t>
            </w:r>
          </w:p>
        </w:tc>
        <w:tc>
          <w:tcPr>
            <w:tcW w:w="2775"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b/>
                <w:sz w:val="20"/>
              </w:rPr>
            </w:pPr>
            <w:r>
              <w:rPr>
                <w:b/>
                <w:sz w:val="20"/>
              </w:rPr>
              <w:t>Acquiror</w:t>
            </w:r>
          </w:p>
        </w:tc>
        <w:tc>
          <w:tcPr>
            <w:tcW w:w="120" w:type="dxa"/>
            <w:tcBorders/>
            <w:vAlign w:val="center"/>
          </w:tcPr>
          <w:p>
            <w:pPr>
              <w:pStyle w:val="TableContents"/>
              <w:bidi w:val="0"/>
              <w:spacing w:before="0" w:after="283"/>
              <w:jc w:val="left"/>
              <w:rPr/>
            </w:pPr>
            <w:r>
              <w:rPr/>
              <w:t> </w:t>
            </w:r>
          </w:p>
        </w:tc>
        <w:tc>
          <w:tcPr>
            <w:tcW w:w="1314"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b/>
                <w:sz w:val="20"/>
              </w:rPr>
            </w:pPr>
            <w:r>
              <w:rPr>
                <w:b/>
                <w:sz w:val="20"/>
              </w:rPr>
              <w:t>Multiple</w:t>
            </w:r>
          </w:p>
        </w:tc>
        <w:tc>
          <w:tcPr>
            <w:tcW w:w="1731" w:type="dxa"/>
            <w:tcBorders>
              <w:bottom w:val="single" w:sz="8" w:space="0" w:color="000000"/>
            </w:tcBorders>
            <w:tcMar>
              <w:top w:w="0" w:type="dxa"/>
              <w:left w:w="0" w:type="dxa"/>
              <w:bottom w:w="28" w:type="dxa"/>
              <w:right w:w="0" w:type="dxa"/>
            </w:tcMar>
            <w:vAlign w:val="center"/>
          </w:tcPr>
          <w:p>
            <w:pPr>
              <w:pStyle w:val="TableContents"/>
              <w:bidi w:val="0"/>
              <w:spacing w:before="0" w:after="283"/>
              <w:jc w:val="center"/>
              <w:rPr>
                <w:b/>
                <w:sz w:val="20"/>
                <w:u w:val="single"/>
              </w:rPr>
            </w:pPr>
            <w:r>
              <w:rPr>
                <w:b/>
                <w:sz w:val="20"/>
                <w:u w:val="single"/>
              </w:rPr>
              <w:t>(amount in billions)</w:t>
            </w:r>
          </w:p>
        </w:tc>
      </w:tr>
      <w:tr>
        <w:trPr/>
        <w:tc>
          <w:tcPr>
            <w:tcW w:w="1355" w:type="dxa"/>
            <w:tcBorders/>
            <w:vAlign w:val="center"/>
          </w:tcPr>
          <w:p>
            <w:pPr>
              <w:pStyle w:val="TableContents"/>
              <w:bidi w:val="0"/>
              <w:spacing w:before="0" w:after="283"/>
              <w:jc w:val="left"/>
              <w:rPr>
                <w:sz w:val="20"/>
              </w:rPr>
            </w:pPr>
            <w:r>
              <w:rPr>
                <w:sz w:val="20"/>
              </w:rPr>
              <w:t>08/10/25</w:t>
            </w:r>
          </w:p>
        </w:tc>
        <w:tc>
          <w:tcPr>
            <w:tcW w:w="2790" w:type="dxa"/>
            <w:tcBorders/>
            <w:vAlign w:val="center"/>
          </w:tcPr>
          <w:p>
            <w:pPr>
              <w:pStyle w:val="TableContents"/>
              <w:bidi w:val="0"/>
              <w:spacing w:before="0" w:after="283"/>
              <w:jc w:val="left"/>
              <w:rPr>
                <w:sz w:val="20"/>
              </w:rPr>
            </w:pPr>
            <w:r>
              <w:rPr>
                <w:sz w:val="20"/>
              </w:rPr>
              <w:t>International Money Express, Inc.</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The Western Union Company</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4.4x</w:t>
            </w:r>
          </w:p>
        </w:tc>
        <w:tc>
          <w:tcPr>
            <w:tcW w:w="1731" w:type="dxa"/>
            <w:tcBorders/>
            <w:vAlign w:val="center"/>
          </w:tcPr>
          <w:p>
            <w:pPr>
              <w:pStyle w:val="TableContents"/>
              <w:bidi w:val="0"/>
              <w:spacing w:before="0" w:after="283"/>
              <w:jc w:val="center"/>
              <w:rPr>
                <w:b/>
                <w:sz w:val="20"/>
                <w:u w:val="single"/>
              </w:rPr>
            </w:pPr>
            <w:r>
              <w:rPr>
                <w:b/>
                <w:sz w:val="20"/>
                <w:u w:val="single"/>
              </w:rPr>
              <w:t>$0.5</w:t>
            </w:r>
          </w:p>
        </w:tc>
      </w:tr>
      <w:tr>
        <w:trPr/>
        <w:tc>
          <w:tcPr>
            <w:tcW w:w="1355" w:type="dxa"/>
            <w:tcBorders/>
            <w:vAlign w:val="center"/>
          </w:tcPr>
          <w:p>
            <w:pPr>
              <w:pStyle w:val="TableContents"/>
              <w:bidi w:val="0"/>
              <w:spacing w:before="0" w:after="283"/>
              <w:jc w:val="left"/>
              <w:rPr>
                <w:sz w:val="20"/>
              </w:rPr>
            </w:pPr>
            <w:r>
              <w:rPr>
                <w:sz w:val="20"/>
              </w:rPr>
              <w:t>07/23/25</w:t>
            </w:r>
          </w:p>
        </w:tc>
        <w:tc>
          <w:tcPr>
            <w:tcW w:w="2790" w:type="dxa"/>
            <w:tcBorders/>
            <w:vAlign w:val="center"/>
          </w:tcPr>
          <w:p>
            <w:pPr>
              <w:pStyle w:val="TableContents"/>
              <w:bidi w:val="0"/>
              <w:spacing w:before="0" w:after="283"/>
              <w:jc w:val="left"/>
              <w:rPr>
                <w:sz w:val="20"/>
              </w:rPr>
            </w:pPr>
            <w:r>
              <w:rPr>
                <w:sz w:val="20"/>
              </w:rPr>
              <w:t>Alpha Group International plc</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Corpay, Inc.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10.8x</w:t>
            </w:r>
          </w:p>
        </w:tc>
        <w:tc>
          <w:tcPr>
            <w:tcW w:w="1731" w:type="dxa"/>
            <w:tcBorders/>
            <w:vAlign w:val="center"/>
          </w:tcPr>
          <w:p>
            <w:pPr>
              <w:pStyle w:val="TableContents"/>
              <w:bidi w:val="0"/>
              <w:spacing w:before="0" w:after="283"/>
              <w:jc w:val="center"/>
              <w:rPr>
                <w:b/>
                <w:sz w:val="20"/>
                <w:u w:val="single"/>
              </w:rPr>
            </w:pPr>
            <w:r>
              <w:rPr>
                <w:b/>
                <w:sz w:val="20"/>
                <w:u w:val="single"/>
              </w:rPr>
              <w:t>$2.1</w:t>
            </w:r>
          </w:p>
        </w:tc>
      </w:tr>
      <w:tr>
        <w:trPr/>
        <w:tc>
          <w:tcPr>
            <w:tcW w:w="1355" w:type="dxa"/>
            <w:tcBorders/>
            <w:vAlign w:val="center"/>
          </w:tcPr>
          <w:p>
            <w:pPr>
              <w:pStyle w:val="TableContents"/>
              <w:bidi w:val="0"/>
              <w:spacing w:before="0" w:after="283"/>
              <w:jc w:val="left"/>
              <w:rPr>
                <w:sz w:val="20"/>
              </w:rPr>
            </w:pPr>
            <w:r>
              <w:rPr>
                <w:sz w:val="20"/>
              </w:rPr>
              <w:t>04/17/25</w:t>
            </w:r>
          </w:p>
        </w:tc>
        <w:tc>
          <w:tcPr>
            <w:tcW w:w="2790" w:type="dxa"/>
            <w:tcBorders/>
            <w:vAlign w:val="center"/>
          </w:tcPr>
          <w:p>
            <w:pPr>
              <w:pStyle w:val="TableContents"/>
              <w:bidi w:val="0"/>
              <w:spacing w:before="0" w:after="283"/>
              <w:jc w:val="left"/>
              <w:rPr>
                <w:sz w:val="20"/>
              </w:rPr>
            </w:pPr>
            <w:r>
              <w:rPr>
                <w:sz w:val="20"/>
              </w:rPr>
              <w:t>Worldpay Holdco, LLC</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Global Payments Inc.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10.5x</w:t>
            </w:r>
          </w:p>
        </w:tc>
        <w:tc>
          <w:tcPr>
            <w:tcW w:w="1731" w:type="dxa"/>
            <w:tcBorders/>
            <w:vAlign w:val="center"/>
          </w:tcPr>
          <w:p>
            <w:pPr>
              <w:pStyle w:val="TableContents"/>
              <w:bidi w:val="0"/>
              <w:spacing w:before="0" w:after="283"/>
              <w:jc w:val="center"/>
              <w:rPr>
                <w:b/>
                <w:sz w:val="20"/>
                <w:u w:val="single"/>
              </w:rPr>
            </w:pPr>
            <w:r>
              <w:rPr>
                <w:b/>
                <w:sz w:val="20"/>
                <w:u w:val="single"/>
              </w:rPr>
              <w:t>$24.3</w:t>
            </w:r>
          </w:p>
        </w:tc>
      </w:tr>
      <w:tr>
        <w:trPr/>
        <w:tc>
          <w:tcPr>
            <w:tcW w:w="1355" w:type="dxa"/>
            <w:tcBorders/>
            <w:vAlign w:val="center"/>
          </w:tcPr>
          <w:p>
            <w:pPr>
              <w:pStyle w:val="TableContents"/>
              <w:bidi w:val="0"/>
              <w:spacing w:before="0" w:after="283"/>
              <w:jc w:val="left"/>
              <w:rPr>
                <w:sz w:val="20"/>
              </w:rPr>
            </w:pPr>
            <w:r>
              <w:rPr>
                <w:sz w:val="20"/>
              </w:rPr>
              <w:t>02/18/25</w:t>
            </w:r>
          </w:p>
        </w:tc>
        <w:tc>
          <w:tcPr>
            <w:tcW w:w="2790" w:type="dxa"/>
            <w:tcBorders/>
            <w:vAlign w:val="center"/>
          </w:tcPr>
          <w:p>
            <w:pPr>
              <w:pStyle w:val="TableContents"/>
              <w:bidi w:val="0"/>
              <w:spacing w:before="0" w:after="283"/>
              <w:jc w:val="left"/>
              <w:rPr>
                <w:sz w:val="20"/>
              </w:rPr>
            </w:pPr>
            <w:r>
              <w:rPr>
                <w:sz w:val="20"/>
              </w:rPr>
              <w:t>Global Blue Group Holding AG</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Shift4 Payments, Inc.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10.4x</w:t>
            </w:r>
          </w:p>
        </w:tc>
        <w:tc>
          <w:tcPr>
            <w:tcW w:w="1731" w:type="dxa"/>
            <w:tcBorders/>
            <w:vAlign w:val="center"/>
          </w:tcPr>
          <w:p>
            <w:pPr>
              <w:pStyle w:val="TableContents"/>
              <w:bidi w:val="0"/>
              <w:spacing w:before="0" w:after="283"/>
              <w:jc w:val="center"/>
              <w:rPr>
                <w:b/>
                <w:sz w:val="20"/>
                <w:u w:val="single"/>
              </w:rPr>
            </w:pPr>
            <w:r>
              <w:rPr>
                <w:b/>
                <w:sz w:val="20"/>
                <w:u w:val="single"/>
              </w:rPr>
              <w:t>$2.5</w:t>
            </w:r>
          </w:p>
        </w:tc>
      </w:tr>
      <w:tr>
        <w:trPr/>
        <w:tc>
          <w:tcPr>
            <w:tcW w:w="1355" w:type="dxa"/>
            <w:tcBorders/>
            <w:vAlign w:val="center"/>
          </w:tcPr>
          <w:p>
            <w:pPr>
              <w:pStyle w:val="TableContents"/>
              <w:bidi w:val="0"/>
              <w:spacing w:before="0" w:after="283"/>
              <w:jc w:val="left"/>
              <w:rPr>
                <w:sz w:val="20"/>
              </w:rPr>
            </w:pPr>
            <w:r>
              <w:rPr>
                <w:sz w:val="20"/>
              </w:rPr>
              <w:t>04/01/24</w:t>
            </w:r>
          </w:p>
        </w:tc>
        <w:tc>
          <w:tcPr>
            <w:tcW w:w="2790" w:type="dxa"/>
            <w:tcBorders/>
            <w:vAlign w:val="center"/>
          </w:tcPr>
          <w:p>
            <w:pPr>
              <w:pStyle w:val="TableContents"/>
              <w:bidi w:val="0"/>
              <w:spacing w:before="0" w:after="283"/>
              <w:jc w:val="left"/>
              <w:rPr>
                <w:sz w:val="20"/>
              </w:rPr>
            </w:pPr>
            <w:r>
              <w:rPr>
                <w:sz w:val="20"/>
              </w:rPr>
              <w:t>Nuvei Corporation</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Advent International Corporation</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12.6x</w:t>
            </w:r>
          </w:p>
        </w:tc>
        <w:tc>
          <w:tcPr>
            <w:tcW w:w="1731" w:type="dxa"/>
            <w:tcBorders/>
            <w:vAlign w:val="center"/>
          </w:tcPr>
          <w:p>
            <w:pPr>
              <w:pStyle w:val="TableContents"/>
              <w:bidi w:val="0"/>
              <w:spacing w:before="0" w:after="283"/>
              <w:jc w:val="center"/>
              <w:rPr>
                <w:b/>
                <w:sz w:val="20"/>
                <w:u w:val="single"/>
              </w:rPr>
            </w:pPr>
            <w:r>
              <w:rPr>
                <w:b/>
                <w:sz w:val="20"/>
                <w:u w:val="single"/>
              </w:rPr>
              <w:t>$6.2</w:t>
            </w:r>
          </w:p>
        </w:tc>
      </w:tr>
      <w:tr>
        <w:trPr/>
        <w:tc>
          <w:tcPr>
            <w:tcW w:w="1355" w:type="dxa"/>
            <w:tcBorders/>
            <w:vAlign w:val="center"/>
          </w:tcPr>
          <w:p>
            <w:pPr>
              <w:pStyle w:val="TableContents"/>
              <w:bidi w:val="0"/>
              <w:spacing w:before="0" w:after="283"/>
              <w:jc w:val="left"/>
              <w:rPr>
                <w:sz w:val="20"/>
              </w:rPr>
            </w:pPr>
            <w:r>
              <w:rPr>
                <w:sz w:val="20"/>
              </w:rPr>
              <w:t>07/06/23</w:t>
            </w:r>
          </w:p>
        </w:tc>
        <w:tc>
          <w:tcPr>
            <w:tcW w:w="2790" w:type="dxa"/>
            <w:tcBorders/>
            <w:vAlign w:val="center"/>
          </w:tcPr>
          <w:p>
            <w:pPr>
              <w:pStyle w:val="TableContents"/>
              <w:bidi w:val="0"/>
              <w:spacing w:before="0" w:after="283"/>
              <w:jc w:val="left"/>
              <w:rPr>
                <w:sz w:val="20"/>
              </w:rPr>
            </w:pPr>
            <w:r>
              <w:rPr>
                <w:sz w:val="20"/>
              </w:rPr>
              <w:t>Worldpay Merchant Solutions</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GTCR, LLC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10.4x</w:t>
            </w:r>
          </w:p>
        </w:tc>
        <w:tc>
          <w:tcPr>
            <w:tcW w:w="1731" w:type="dxa"/>
            <w:tcBorders/>
            <w:vAlign w:val="center"/>
          </w:tcPr>
          <w:p>
            <w:pPr>
              <w:pStyle w:val="TableContents"/>
              <w:bidi w:val="0"/>
              <w:spacing w:before="0" w:after="283"/>
              <w:jc w:val="center"/>
              <w:rPr>
                <w:b/>
                <w:sz w:val="20"/>
                <w:u w:val="single"/>
              </w:rPr>
            </w:pPr>
            <w:r>
              <w:rPr>
                <w:b/>
                <w:sz w:val="20"/>
                <w:u w:val="single"/>
              </w:rPr>
              <w:t>$18.5</w:t>
            </w:r>
          </w:p>
        </w:tc>
      </w:tr>
      <w:tr>
        <w:trPr/>
        <w:tc>
          <w:tcPr>
            <w:tcW w:w="1355" w:type="dxa"/>
            <w:tcBorders/>
            <w:vAlign w:val="center"/>
          </w:tcPr>
          <w:p>
            <w:pPr>
              <w:pStyle w:val="TableContents"/>
              <w:bidi w:val="0"/>
              <w:spacing w:before="0" w:after="283"/>
              <w:jc w:val="left"/>
              <w:rPr>
                <w:sz w:val="20"/>
              </w:rPr>
            </w:pPr>
            <w:r>
              <w:rPr>
                <w:sz w:val="20"/>
              </w:rPr>
              <w:t>08/01/22</w:t>
            </w:r>
          </w:p>
        </w:tc>
        <w:tc>
          <w:tcPr>
            <w:tcW w:w="2790" w:type="dxa"/>
            <w:tcBorders/>
            <w:vAlign w:val="center"/>
          </w:tcPr>
          <w:p>
            <w:pPr>
              <w:pStyle w:val="TableContents"/>
              <w:bidi w:val="0"/>
              <w:spacing w:before="0" w:after="283"/>
              <w:jc w:val="left"/>
              <w:rPr>
                <w:sz w:val="20"/>
              </w:rPr>
            </w:pPr>
            <w:r>
              <w:rPr>
                <w:sz w:val="20"/>
              </w:rPr>
              <w:t>EVO Payments, Inc.</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Global Payments Inc.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17.1x</w:t>
            </w:r>
          </w:p>
        </w:tc>
        <w:tc>
          <w:tcPr>
            <w:tcW w:w="1731" w:type="dxa"/>
            <w:tcBorders/>
            <w:vAlign w:val="center"/>
          </w:tcPr>
          <w:p>
            <w:pPr>
              <w:pStyle w:val="TableContents"/>
              <w:bidi w:val="0"/>
              <w:spacing w:before="0" w:after="283"/>
              <w:jc w:val="center"/>
              <w:rPr>
                <w:b/>
                <w:sz w:val="20"/>
                <w:u w:val="single"/>
              </w:rPr>
            </w:pPr>
            <w:r>
              <w:rPr>
                <w:b/>
                <w:sz w:val="20"/>
                <w:u w:val="single"/>
              </w:rPr>
              <w:t>$3.9</w:t>
            </w:r>
          </w:p>
        </w:tc>
      </w:tr>
      <w:tr>
        <w:trPr/>
        <w:tc>
          <w:tcPr>
            <w:tcW w:w="1355" w:type="dxa"/>
            <w:tcBorders/>
            <w:vAlign w:val="center"/>
          </w:tcPr>
          <w:p>
            <w:pPr>
              <w:pStyle w:val="TableContents"/>
              <w:bidi w:val="0"/>
              <w:spacing w:before="0" w:after="283"/>
              <w:jc w:val="left"/>
              <w:rPr>
                <w:sz w:val="20"/>
              </w:rPr>
            </w:pPr>
            <w:r>
              <w:rPr>
                <w:sz w:val="20"/>
              </w:rPr>
              <w:t>02/15/22</w:t>
            </w:r>
          </w:p>
        </w:tc>
        <w:tc>
          <w:tcPr>
            <w:tcW w:w="2790" w:type="dxa"/>
            <w:tcBorders/>
            <w:vAlign w:val="center"/>
          </w:tcPr>
          <w:p>
            <w:pPr>
              <w:pStyle w:val="TableContents"/>
              <w:bidi w:val="0"/>
              <w:spacing w:before="0" w:after="283"/>
              <w:jc w:val="left"/>
              <w:rPr>
                <w:sz w:val="20"/>
              </w:rPr>
            </w:pPr>
            <w:r>
              <w:rPr>
                <w:sz w:val="20"/>
              </w:rPr>
              <w:t>MoneyGram International, Inc.</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Madison Dearborn Partners, LLC</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8.0x</w:t>
            </w:r>
          </w:p>
        </w:tc>
        <w:tc>
          <w:tcPr>
            <w:tcW w:w="1731" w:type="dxa"/>
            <w:tcBorders/>
            <w:vAlign w:val="center"/>
          </w:tcPr>
          <w:p>
            <w:pPr>
              <w:pStyle w:val="TableContents"/>
              <w:bidi w:val="0"/>
              <w:spacing w:before="0" w:after="283"/>
              <w:jc w:val="center"/>
              <w:rPr>
                <w:b/>
                <w:sz w:val="20"/>
                <w:u w:val="single"/>
              </w:rPr>
            </w:pPr>
            <w:r>
              <w:rPr>
                <w:b/>
                <w:sz w:val="20"/>
                <w:u w:val="single"/>
              </w:rPr>
              <w:t>$1.8</w:t>
            </w:r>
          </w:p>
        </w:tc>
      </w:tr>
      <w:tr>
        <w:trPr/>
        <w:tc>
          <w:tcPr>
            <w:tcW w:w="1355" w:type="dxa"/>
            <w:tcBorders/>
            <w:vAlign w:val="center"/>
          </w:tcPr>
          <w:p>
            <w:pPr>
              <w:pStyle w:val="TableContents"/>
              <w:bidi w:val="0"/>
              <w:spacing w:before="0" w:after="283"/>
              <w:jc w:val="left"/>
              <w:rPr>
                <w:sz w:val="20"/>
              </w:rPr>
            </w:pPr>
            <w:r>
              <w:rPr>
                <w:sz w:val="20"/>
              </w:rPr>
              <w:t>02/03/20</w:t>
            </w:r>
          </w:p>
        </w:tc>
        <w:tc>
          <w:tcPr>
            <w:tcW w:w="2790" w:type="dxa"/>
            <w:tcBorders/>
            <w:vAlign w:val="center"/>
          </w:tcPr>
          <w:p>
            <w:pPr>
              <w:pStyle w:val="TableContents"/>
              <w:bidi w:val="0"/>
              <w:spacing w:before="0" w:after="283"/>
              <w:jc w:val="left"/>
              <w:rPr>
                <w:sz w:val="20"/>
              </w:rPr>
            </w:pPr>
            <w:r>
              <w:rPr>
                <w:sz w:val="20"/>
              </w:rPr>
              <w:t>Ingenico Group</w:t>
            </w:r>
          </w:p>
        </w:tc>
        <w:tc>
          <w:tcPr>
            <w:tcW w:w="120" w:type="dxa"/>
            <w:tcBorders/>
            <w:vAlign w:val="center"/>
          </w:tcPr>
          <w:p>
            <w:pPr>
              <w:pStyle w:val="TableContents"/>
              <w:bidi w:val="0"/>
              <w:spacing w:before="0" w:after="283"/>
              <w:jc w:val="left"/>
              <w:rPr/>
            </w:pPr>
            <w:r>
              <w:rPr/>
              <w:t> </w:t>
            </w:r>
          </w:p>
        </w:tc>
        <w:tc>
          <w:tcPr>
            <w:tcW w:w="2775" w:type="dxa"/>
            <w:tcBorders/>
            <w:vAlign w:val="center"/>
          </w:tcPr>
          <w:p>
            <w:pPr>
              <w:pStyle w:val="TableContents"/>
              <w:bidi w:val="0"/>
              <w:spacing w:before="0" w:after="283"/>
              <w:jc w:val="left"/>
              <w:rPr>
                <w:sz w:val="20"/>
              </w:rPr>
            </w:pPr>
            <w:r>
              <w:rPr>
                <w:sz w:val="20"/>
              </w:rPr>
              <w:t>Worldline SA</w:t>
            </w:r>
          </w:p>
        </w:tc>
        <w:tc>
          <w:tcPr>
            <w:tcW w:w="120" w:type="dxa"/>
            <w:tcBorders/>
            <w:vAlign w:val="center"/>
          </w:tcPr>
          <w:p>
            <w:pPr>
              <w:pStyle w:val="TableContents"/>
              <w:bidi w:val="0"/>
              <w:spacing w:before="0" w:after="283"/>
              <w:jc w:val="left"/>
              <w:rPr/>
            </w:pPr>
            <w:r>
              <w:rPr/>
              <w:t> </w:t>
            </w:r>
          </w:p>
        </w:tc>
        <w:tc>
          <w:tcPr>
            <w:tcW w:w="1314" w:type="dxa"/>
            <w:tcBorders/>
            <w:vAlign w:val="center"/>
          </w:tcPr>
          <w:p>
            <w:pPr>
              <w:pStyle w:val="TableContents"/>
              <w:bidi w:val="0"/>
              <w:spacing w:before="0" w:after="283"/>
              <w:jc w:val="left"/>
              <w:rPr>
                <w:sz w:val="20"/>
              </w:rPr>
            </w:pPr>
            <w:r>
              <w:rPr>
                <w:sz w:val="20"/>
              </w:rPr>
              <w:t>12.9x</w:t>
            </w:r>
          </w:p>
        </w:tc>
        <w:tc>
          <w:tcPr>
            <w:tcW w:w="1731" w:type="dxa"/>
            <w:tcBorders/>
            <w:vAlign w:val="center"/>
          </w:tcPr>
          <w:p>
            <w:pPr>
              <w:pStyle w:val="TableContents"/>
              <w:bidi w:val="0"/>
              <w:spacing w:before="0" w:after="283"/>
              <w:jc w:val="center"/>
              <w:rPr>
                <w:b/>
                <w:sz w:val="20"/>
                <w:u w:val="single"/>
              </w:rPr>
            </w:pPr>
            <w:r>
              <w:rPr>
                <w:b/>
                <w:sz w:val="20"/>
                <w:u w:val="single"/>
              </w:rPr>
              <w:t>$9.5</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550"/>
        <w:gridCol w:w="320"/>
        <w:gridCol w:w="590"/>
        <w:gridCol w:w="1895"/>
      </w:tblGrid>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2805" w:type="dxa"/>
            <w:gridSpan w:val="3"/>
            <w:tcBorders/>
            <w:vAlign w:val="center"/>
          </w:tcPr>
          <w:p>
            <w:pPr>
              <w:pStyle w:val="TableContents"/>
              <w:bidi w:val="0"/>
              <w:spacing w:before="0" w:after="283"/>
              <w:jc w:val="left"/>
              <w:rPr>
                <w:b/>
                <w:sz w:val="20"/>
              </w:rPr>
            </w:pPr>
            <w:r>
              <w:rPr>
                <w:b/>
                <w:sz w:val="20"/>
              </w:rPr>
              <w:t>PAYONEER GLOBAL INC.</w:t>
            </w:r>
          </w:p>
        </w:tc>
      </w:tr>
      <w:tr>
        <w:trPr/>
        <w:tc>
          <w:tcPr>
            <w:tcW w:w="1550" w:type="dxa"/>
            <w:tcBorders/>
            <w:vAlign w:val="center"/>
          </w:tcPr>
          <w:p>
            <w:pPr>
              <w:pStyle w:val="TableContents"/>
              <w:bidi w:val="0"/>
              <w:spacing w:before="0" w:after="283"/>
              <w:jc w:val="left"/>
              <w:rPr/>
            </w:pPr>
            <w:r>
              <w:rPr/>
              <w:t> </w:t>
            </w:r>
          </w:p>
        </w:tc>
        <w:tc>
          <w:tcPr>
            <w:tcW w:w="2805" w:type="dxa"/>
            <w:gridSpan w:val="3"/>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20"/>
              </w:rPr>
            </w:pPr>
            <w:r>
              <w:rPr>
                <w:sz w:val="20"/>
              </w:rPr>
              <w:t>September 8, 2026</w:t>
            </w:r>
          </w:p>
        </w:tc>
        <w:tc>
          <w:tcPr>
            <w:tcW w:w="320" w:type="dxa"/>
            <w:tcBorders/>
            <w:vAlign w:val="center"/>
          </w:tcPr>
          <w:p>
            <w:pPr>
              <w:pStyle w:val="TableContents"/>
              <w:bidi w:val="0"/>
              <w:spacing w:before="0" w:after="283"/>
              <w:jc w:val="left"/>
              <w:rPr>
                <w:sz w:val="20"/>
              </w:rPr>
            </w:pPr>
            <w:r>
              <w:rPr>
                <w:sz w:val="20"/>
              </w:rPr>
              <w:t>By:</w:t>
            </w:r>
          </w:p>
        </w:tc>
        <w:tc>
          <w:tcPr>
            <w:tcW w:w="248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Bea Ordonez</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895" w:type="dxa"/>
            <w:tcBorders/>
            <w:vAlign w:val="center"/>
          </w:tcPr>
          <w:p>
            <w:pPr>
              <w:pStyle w:val="TableContents"/>
              <w:bidi w:val="0"/>
              <w:spacing w:before="0" w:after="283"/>
              <w:jc w:val="left"/>
              <w:rPr>
                <w:sz w:val="20"/>
              </w:rPr>
            </w:pPr>
            <w:r>
              <w:rPr>
                <w:sz w:val="20"/>
              </w:rPr>
              <w:t>Bea Ordonez</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color w:val="212529"/>
          <w:sz w:val="20"/>
        </w:rPr>
        <w:t xml:space="preserve">This communication contains forward-looking statements within the meaning of the Private Securities Litigation Reform Act of 1995 (the “Act”). Except for historical information contained in this communication, the matters discussed herein contain forward-looking statements that </w:t>
      </w:r>
      <w:r>
        <w:rPr>
          <w:rFonts w:ascii="Times New Roman;Times;Serif" w:hAnsi="Times New Roman;Times;Serif"/>
          <w:b w:val="false"/>
          <w:i w:val="false"/>
          <w:caps w:val="false"/>
          <w:smallCaps w:val="false"/>
          <w:sz w:val="20"/>
        </w:rPr>
        <w:t>involve risks and uncertainties. Such statements are provided under the “safe harbor” protection of the Act. In some cases, you can identify forward-looking statements because they contain words such as “may,” “will,” “shall,” “should,” “expects,” “plans,” “positioning,” “anticipates,” “could,” “intends,” “target,” “projects,” “contemplates,” “believes,” “estimates,” “predicts,” “potential” or “continue” or the negative of these words or other similar terms or expressions that concern our expectations, strategy, plans or intentions. Forward-looking statements include, but are not limited to, statements about transition and the impact of recent changes to our executive management team; statements regarding the expectations of demand for our products and cash flow generation; statements about improvements to and expansion of our products and platform, and launching new products; statements about future operating results, including revenue, volume, growth opportunities, variability of expenses, ability to realize efficiencies, future spending and incremental investments, business trends, our ability to deliver profits, and growth and value for shareholders; and assumptions regarding foreign exchange rates.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pPr>
      <w:r>
        <w:rPr>
          <w:rFonts w:ascii="Times New Roman;Times;Serif" w:hAnsi="Times New Roman;Times;Serif"/>
          <w:b w:val="false"/>
          <w:i w:val="false"/>
          <w:caps w:val="false"/>
          <w:smallCaps w:val="false"/>
          <w:sz w:val="20"/>
        </w:rPr>
        <w:t xml:space="preserve">Forward-looking statements by their nature address matters that are, to different degrees, uncertain, such as statements regarding the transactions (the “Transaction”) contemplated by the Agreement and Plan of Merger, dated as of June 12, 2026, by and among the Company, Nuvei and Panda Acquisition Sub Inc. (the “Merger Agreement”), including the expected time period to consummate the Transaction. All such forward-looking statements are based upon current plans, estimates, expectations and ambitions that are subject to risks, uncertainties and assumptions, many of which are beyond the control of the Company, that could cause actual results to differ materially from those expressed in such forward-looking statements. Key factors that could cause actual results to differ materially include, but are not limited to, the expected timing and likelihood of completion of the Transaction, including the timing, receipt and terms and conditions of any required governmental and regulatory approvals of the Transaction; the occurrence of any event, change or other circumstances that could give rise to the termination of the Merger Agreement; the possibility that the Company's stockholders may not approve the Transaction; the risk that the parties may not be able to satisfy the conditions to the Transaction in a timely manner or at all; risks related to disruption of management time from ongoing business operations due to the Transaction; the risk that any announcements relating to the Transaction could have adverse effects on the market price of the Company's common stock; the risk that the Transaction and its announcement could have an adverse effect on the parties' business relationships and business generally, including the ability of the Company to retain customers and retain and hire key personnel and maintain relationships with their suppliers and customers, and on their operating results and businesses generally; the risk of unforeseen or unknown liabilities; customer, stockholder, partner, regulatory and other stakeholder approvals and support; the risk of unexpected future capital expenditures; the risk of potential litigation relating to the Transaction that could be instituted against the Company or its directors and/or officers; the risk associated with third party contracts containing material consent, anti-assignment, transfer or other provisions that may be related to the Transaction which are not waived or otherwise satisfactorily resolved; the risk of various events that could disrupt operations, including severe weather, such as droughts, floods, avalanches and earthquakes, cybersecurity attacks, wars, security threats and governmental response to them, and technological changes; the risks of labor disputes, changes in labor costs and labor difficulties; and the risks resulting from other effects of industry, market, economic, legal or legislative, political or regulatory conditions outside of the Company's control. All such factors are difficult to predict and are beyond our control, including those detailed in the Company's annual report on Form 10-K for the fiscal year ended December 31, 2025 (and which is available at: </w:t>
      </w:r>
      <w:hyperlink r:id="rId2">
        <w:r>
          <w:rPr>
            <w:rStyle w:val="InternetLink"/>
            <w:rFonts w:ascii="Times New Roman;Times;Serif" w:hAnsi="Times New Roman;Times;Serif"/>
            <w:b w:val="false"/>
            <w:i w:val="false"/>
            <w:caps w:val="false"/>
            <w:smallCaps w:val="false"/>
            <w:sz w:val="20"/>
          </w:rPr>
          <w:t>https://www.sec.gov/Archives/edgar/data/1845815/000110465926020487/payo-20251231x10k.htm</w:t>
        </w:r>
      </w:hyperlink>
      <w:r>
        <w:rPr>
          <w:rFonts w:ascii="Times New Roman;Times;Serif" w:hAnsi="Times New Roman;Times;Serif"/>
          <w:b w:val="false"/>
          <w:i w:val="false"/>
          <w:caps w:val="false"/>
          <w:smallCaps w:val="false"/>
          <w:sz w:val="20"/>
        </w:rPr>
        <w:t>), quarterly reports on Form 10-Q and other documents subsequently filed by the Company with the Securities and Exchange Commission (“SEC”) (and that are available at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https://www.sec.gov/edgar/search/#/ciks=0001845815&amp;entityName=Payoneer%2520Global%2520Inc.%2520(PAYO)%2520(CIK%25200001845815).</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forward-looking statements are based on assumptions that the Company believes to be reasonable but that may not prove to be accurate. Other unpredictable or unknown factors not discussed in this communication could also have material adverse effects on forward-looking statements. The Company does not assume an obligation to update any forward-looking statements, except as required by applicable law. These forward-looking statements speak only as of the date hereof.</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Transaction, on August 11, 2026, the Company filed with the SEC a definitive proxy statement on Schedule 14A related to a special meeting of its stockholders. The definitive proxy statement is being sent to the stockholders of the Company seeking their approval of the Transaction and other related matters.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ARE URGED TO READ THE PROXY STATEMENT ON SCHEDULE 14A, AS WELL AS ANY OTHER RELEVANT DOCUMENTS FILED WITH OR THAT WILL BE FILED WITH THE SEC IN CONNECTION WITH THE TRANSACTION OR INCORPORATED BY REFERENCE INTO THE PROXY STATEMENT, BECAUSE THEY CONTAIN IMPORTANT INFORMATION REGARDING THE COMPANY, THE TRANSACTION AND RELATED MATTERS. Investors and security holders may obtain free copies of these documents, including the proxy statement, and other documents filed with the SEC by the Company through the website maintained by the SEC at https://www.sec.gov/edgar/browse/?CIK=1845815&amp;owner=exclude.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documents filed with the SEC by the Company are available free of charge by accessing the Company's website at https://investor.payoneer.com/financials/sec-filings.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Company, Nuvei and their respective directors and executive officers may be deemed to be participants in the solicitation of proxies from the stockholders of the Company in connection with the Transaction under the rules of the SEC. Information about the interests of the directors and executive officers of the Company and other persons who may be deemed to be participants in the solicitation of stockholders of the Company in connection with the Transaction and a description of their direct and indirect interests, by security holdings or otherwise, are included in the proxy statement related to the Transaction, which was filed with the SEC. Information about the directors and executive officers of the Company and their ownership of the Company common stock is also set forth in the Company's definitive proxy statement in connection with its 2026 Annual Meeting of Stockholders, as filed with the SEC on April 27, 2026 (and which is available at </w:t>
      </w:r>
      <w:hyperlink r:id="rId3">
        <w:r>
          <w:rPr>
            <w:rStyle w:val="InternetLink"/>
            <w:rFonts w:ascii="Times New Roman;Times;Serif" w:hAnsi="Times New Roman;Times;Serif"/>
            <w:b w:val="false"/>
            <w:i w:val="false"/>
            <w:caps w:val="false"/>
            <w:smallCaps w:val="false"/>
            <w:sz w:val="20"/>
          </w:rPr>
          <w:t>https://www.sec.gov/ix?doc=/Archives/edgar/data/0001845815/000110465926049462/tm261500-1_def14a.htm</w:t>
        </w:r>
      </w:hyperlink>
      <w:r>
        <w:rPr>
          <w:rFonts w:ascii="Times New Roman;Times;Serif" w:hAnsi="Times New Roman;Times;Serif"/>
          <w:b w:val="false"/>
          <w:i w:val="false"/>
          <w:caps w:val="false"/>
          <w:smallCaps w:val="false"/>
          <w:sz w:val="20"/>
        </w:rPr>
        <w:t xml:space="preserve">) and in the Company's Annual Report on Form 10-K for the fiscal year ended December 31, 2025 (and which is available at </w:t>
      </w:r>
      <w:hyperlink r:id="rId4">
        <w:r>
          <w:rPr>
            <w:rStyle w:val="InternetLink"/>
            <w:rFonts w:ascii="Times New Roman;Times;Serif" w:hAnsi="Times New Roman;Times;Serif"/>
            <w:b w:val="false"/>
            <w:i w:val="false"/>
            <w:caps w:val="false"/>
            <w:smallCaps w:val="false"/>
            <w:sz w:val="20"/>
          </w:rPr>
          <w:t>https://www.sec.gov/ix?doc=/Archives/edgar/data/0001845815/000110465926020487/payo-20251231x10k.htm</w:t>
        </w:r>
      </w:hyperlink>
      <w:r>
        <w:rPr>
          <w:rFonts w:ascii="Times New Roman;Times;Serif" w:hAnsi="Times New Roman;Times;Serif"/>
          <w:b w:val="false"/>
          <w:i w:val="false"/>
          <w:caps w:val="false"/>
          <w:smallCaps w:val="false"/>
          <w:sz w:val="20"/>
        </w:rPr>
        <w:t xml:space="preserve">). Information about the directors and executive officers of the Company, their ownership of the Company common stock, and the Company's transactions with related persons is set forth in the sections entitled “Directors, Executive Officers and Corporate Governance,” “Security Ownership of Certain Beneficial Owners and Management and Related Stockholder Matters,” and “Certain Relationships and Related Transactions, and Director Independence” included in the Company's annual report on Form 10-K for the fiscal year ended December 31, 2025, which was filed with the SEC on February 26, 2026 (and which is available at </w:t>
      </w:r>
      <w:hyperlink r:id="rId5">
        <w:r>
          <w:rPr>
            <w:rStyle w:val="InternetLink"/>
            <w:rFonts w:ascii="Times New Roman;Times;Serif" w:hAnsi="Times New Roman;Times;Serif"/>
            <w:b w:val="false"/>
            <w:i w:val="false"/>
            <w:caps w:val="false"/>
            <w:smallCaps w:val="false"/>
            <w:sz w:val="20"/>
          </w:rPr>
          <w:t>https://www.sec.gov/ix?doc=/Archives/edgar/data/0001845815/000110465926020487/payo-20251231x10k.htm</w:t>
        </w:r>
      </w:hyperlink>
      <w:r>
        <w:rPr>
          <w:rFonts w:ascii="Times New Roman;Times;Serif" w:hAnsi="Times New Roman;Times;Serif"/>
          <w:b w:val="false"/>
          <w:i w:val="false"/>
          <w:caps w:val="false"/>
          <w:smallCaps w:val="false"/>
          <w:sz w:val="20"/>
        </w:rPr>
        <w:t xml:space="preserve">), and in the sections entitled “Information Regarding the Board of Directors and Corporate Governance,” “Security Ownership of Certain Beneficial Owners and Management,” “Certain Relationships and Related Party Transactions,” and “Independence of the Board of Directors” included in the Company's definitive proxy statement in connection with its 2026 Annual Meeting of Stockholders, as filed with the SEC on April 27, 2026 (and which is available at </w:t>
      </w:r>
      <w:hyperlink r:id="rId6">
        <w:r>
          <w:rPr>
            <w:rStyle w:val="InternetLink"/>
            <w:rFonts w:ascii="Times New Roman;Times;Serif" w:hAnsi="Times New Roman;Times;Serif"/>
            <w:b w:val="false"/>
            <w:i w:val="false"/>
            <w:caps w:val="false"/>
            <w:smallCaps w:val="false"/>
            <w:sz w:val="20"/>
          </w:rPr>
          <w:t>https://www.sec.gov/ix?doc=/Archives/edgar/data/0001845815/000110465926049462/tm261500-1_def14a.htm</w:t>
        </w:r>
      </w:hyperlink>
      <w:r>
        <w:rPr>
          <w:rFonts w:ascii="Times New Roman;Times;Serif" w:hAnsi="Times New Roman;Times;Serif"/>
          <w:b w:val="false"/>
          <w:i w:val="false"/>
          <w:caps w:val="false"/>
          <w:smallCaps w:val="false"/>
          <w:sz w:val="20"/>
        </w:rPr>
        <w:t xml:space="preserve">). Additional information regarding the interests of such participants in the solicitation of proxies in respect of the Transaction is included in the proxy statement, which was filed with the SEC, and other relevant materials to be filed with the SEC when they become available. These documents can be obtained free of charge from the SEC's website at </w:t>
      </w:r>
      <w:r>
        <w:rPr>
          <w:rFonts w:ascii="Times New Roman;Times;Serif" w:hAnsi="Times New Roman;Times;Serif"/>
          <w:b w:val="false"/>
          <w:i w:val="false"/>
          <w:caps w:val="false"/>
          <w:smallCaps w:val="false"/>
          <w:color w:val="0000FF"/>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is not intended to and shall not constitute an offer to sell or the solicitation of an offer to sell or the solicitation of an offer </w:t>
      </w:r>
      <w:r>
        <w:rPr>
          <w:rFonts w:ascii="Times New Roman;Times;Serif" w:hAnsi="Times New Roman;Times;Serif"/>
          <w:b w:val="false"/>
          <w:i w:val="false"/>
          <w:caps w:val="false"/>
          <w:smallCaps w:val="false"/>
          <w:color w:val="212529"/>
          <w:sz w:val="20"/>
        </w:rPr>
        <w:t>to buy any securities or the solicitation of any vote of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5815/000110465926020487/payo-20251231x10k.htm" TargetMode="External"/><Relationship Id="rId3" Type="http://schemas.openxmlformats.org/officeDocument/2006/relationships/hyperlink" Target="https://www.sec.gov/ix?doc=/Archives/edgar/data/0001845815/000110465926049462/tm261500-1_def14a.htm" TargetMode="External"/><Relationship Id="rId4" Type="http://schemas.openxmlformats.org/officeDocument/2006/relationships/hyperlink" Target="https://www.sec.gov/ix?doc=/Archives/edgar/data/0001845815/000110465926020487/payo-20251231x10k.htm" TargetMode="External"/><Relationship Id="rId5" Type="http://schemas.openxmlformats.org/officeDocument/2006/relationships/hyperlink" Target="https://www.sec.gov/ix?doc=/Archives/edgar/data/0001845815/000110465926020487/payo-20251231x10k.htm" TargetMode="External"/><Relationship Id="rId6" Type="http://schemas.openxmlformats.org/officeDocument/2006/relationships/hyperlink" Target="https://www.sec.gov/ix?doc=/Archives/edgar/data/0001845815/000110465926049462/tm261500-1_def14a.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3481</Words>
  <Characters>20179</Characters>
  <CharactersWithSpaces>23633</CharactersWithSpaces>
  <Paragraphs>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