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Caro del Castillo Sharda</w:t>
              </w:r>
            </w:hyperlink>
          </w:p>
        </w:tc>
        <w:tc>
          <w:tcPr>
            <w:tcW w:w="13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Payoneer Global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PAYO</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80" w:type="dxa"/>
            <w:vAlign w:val="bottom"/>
            <w:gridSpan w:val="3"/>
            <w:vMerge w:val="continue"/>
          </w:tcPr>
          <w:p>
            <w:pPr>
              <w:spacing w:after="0"/>
              <w:rPr>
                <w:sz w:val="6"/>
                <w:szCs w:val="6"/>
                <w:color w:val="auto"/>
              </w:rPr>
            </w:pPr>
          </w:p>
        </w:tc>
        <w:tc>
          <w:tcPr>
            <w:tcW w:w="13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0" w:type="dxa"/>
            <w:vAlign w:val="bottom"/>
            <w:tcBorders>
              <w:bottom w:val="single" w:sz="8" w:color="0000EE"/>
            </w:tcBorders>
          </w:tcPr>
          <w:p>
            <w:pPr>
              <w:spacing w:after="0"/>
              <w:rPr>
                <w:sz w:val="6"/>
                <w:szCs w:val="6"/>
                <w:color w:val="auto"/>
              </w:rPr>
            </w:pPr>
          </w:p>
        </w:tc>
        <w:tc>
          <w:tcPr>
            <w:tcW w:w="19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280" w:type="dxa"/>
            <w:vAlign w:val="bottom"/>
            <w:gridSpan w:val="3"/>
            <w:vMerge w:val="continue"/>
          </w:tcPr>
          <w:p>
            <w:pPr>
              <w:spacing w:after="0"/>
              <w:rPr>
                <w:sz w:val="5"/>
                <w:szCs w:val="5"/>
                <w:color w:val="auto"/>
              </w:rPr>
            </w:pPr>
          </w:p>
        </w:tc>
        <w:tc>
          <w:tcPr>
            <w:tcW w:w="13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9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120" w:type="dxa"/>
            <w:vAlign w:val="bottom"/>
            <w:tcBorders>
              <w:top w:val="single" w:sz="8" w:color="0000EE"/>
            </w:tcBorders>
          </w:tcPr>
          <w:p>
            <w:pPr>
              <w:spacing w:after="0"/>
              <w:rPr>
                <w:sz w:val="6"/>
                <w:szCs w:val="6"/>
                <w:color w:val="auto"/>
              </w:rPr>
            </w:pPr>
          </w:p>
        </w:tc>
        <w:tc>
          <w:tcPr>
            <w:tcW w:w="980" w:type="dxa"/>
            <w:vAlign w:val="bottom"/>
            <w:tcBorders>
              <w:top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13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9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20" w:type="dxa"/>
            <w:vAlign w:val="bottom"/>
            <w:tcBorders>
              <w:top w:val="single" w:sz="8" w:color="EEEEEE"/>
            </w:tcBorders>
          </w:tcPr>
          <w:p>
            <w:pPr>
              <w:spacing w:after="0"/>
              <w:rPr>
                <w:sz w:val="2"/>
                <w:szCs w:val="2"/>
                <w:color w:val="auto"/>
              </w:rPr>
            </w:pPr>
          </w:p>
        </w:tc>
        <w:tc>
          <w:tcPr>
            <w:tcW w:w="980" w:type="dxa"/>
            <w:vAlign w:val="bottom"/>
            <w:tcBorders>
              <w:top w:val="single" w:sz="8" w:color="EEEEEE"/>
            </w:tcBorders>
          </w:tcPr>
          <w:p>
            <w:pPr>
              <w:spacing w:after="0"/>
              <w:rPr>
                <w:sz w:val="2"/>
                <w:szCs w:val="2"/>
                <w:color w:val="auto"/>
              </w:rPr>
            </w:pPr>
          </w:p>
        </w:tc>
        <w:tc>
          <w:tcPr>
            <w:tcW w:w="180" w:type="dxa"/>
            <w:vAlign w:val="bottom"/>
            <w:tcBorders>
              <w:top w:val="single" w:sz="8" w:color="EEEEEE"/>
            </w:tcBorders>
          </w:tcPr>
          <w:p>
            <w:pPr>
              <w:spacing w:after="0"/>
              <w:rPr>
                <w:sz w:val="2"/>
                <w:szCs w:val="2"/>
                <w:color w:val="auto"/>
              </w:rPr>
            </w:pPr>
          </w:p>
        </w:tc>
        <w:tc>
          <w:tcPr>
            <w:tcW w:w="13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1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160" w:type="dxa"/>
            <w:vAlign w:val="bottom"/>
            <w:gridSpan w:val="2"/>
            <w:vMerge w:val="restart"/>
          </w:tcPr>
          <w:p>
            <w:pPr>
              <w:ind w:left="100"/>
              <w:spacing w:after="0"/>
              <w:rPr>
                <w:sz w:val="20"/>
                <w:szCs w:val="20"/>
                <w:color w:val="auto"/>
              </w:rPr>
            </w:pPr>
            <w:r>
              <w:rPr>
                <w:rFonts w:ascii="Arial" w:cs="Arial" w:eastAsia="Arial" w:hAnsi="Arial"/>
                <w:sz w:val="13"/>
                <w:szCs w:val="13"/>
                <w:color w:val="auto"/>
              </w:rPr>
              <w:t>(First)</w:t>
            </w:r>
          </w:p>
        </w:tc>
        <w:tc>
          <w:tcPr>
            <w:tcW w:w="1360" w:type="dxa"/>
            <w:vAlign w:val="bottom"/>
            <w:vMerge w:val="restart"/>
          </w:tcPr>
          <w:p>
            <w:pPr>
              <w:ind w:left="1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1360" w:type="dxa"/>
            <w:vAlign w:val="bottom"/>
            <w:vMerge w:val="continue"/>
          </w:tcPr>
          <w:p>
            <w:pPr>
              <w:spacing w:after="0"/>
              <w:rPr>
                <w:sz w:val="8"/>
                <w:szCs w:val="8"/>
                <w:color w:val="auto"/>
              </w:rPr>
            </w:pPr>
          </w:p>
        </w:tc>
        <w:tc>
          <w:tcPr>
            <w:tcW w:w="19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06/10/2026</w:t>
            </w:r>
          </w:p>
        </w:tc>
        <w:tc>
          <w:tcPr>
            <w:tcW w:w="19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195 BROADWAY</w:t>
            </w:r>
          </w:p>
        </w:tc>
        <w:tc>
          <w:tcPr>
            <w:tcW w:w="1360" w:type="dxa"/>
            <w:vAlign w:val="bottom"/>
          </w:tcPr>
          <w:p>
            <w:pPr>
              <w:spacing w:after="0"/>
              <w:rPr>
                <w:sz w:val="11"/>
                <w:szCs w:val="11"/>
                <w:color w:val="auto"/>
              </w:rPr>
            </w:pPr>
          </w:p>
        </w:tc>
        <w:tc>
          <w:tcPr>
            <w:tcW w:w="1960" w:type="dxa"/>
            <w:vAlign w:val="bottom"/>
            <w:gridSpan w:val="3"/>
            <w:vMerge w:val="continue"/>
          </w:tcPr>
          <w:p>
            <w:pPr>
              <w:spacing w:after="0"/>
              <w:rPr>
                <w:sz w:val="11"/>
                <w:szCs w:val="11"/>
                <w:color w:val="auto"/>
              </w:rPr>
            </w:pPr>
          </w:p>
        </w:tc>
        <w:tc>
          <w:tcPr>
            <w:tcW w:w="19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80" w:type="dxa"/>
            <w:vAlign w:val="bottom"/>
            <w:gridSpan w:val="3"/>
            <w:vMerge w:val="continue"/>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1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27TH FLOOR</w:t>
            </w: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0" w:type="dxa"/>
            <w:vAlign w:val="bottom"/>
            <w:tcBorders>
              <w:bottom w:val="single" w:sz="8" w:color="2C2C2C"/>
            </w:tcBorders>
          </w:tcPr>
          <w:p>
            <w:pPr>
              <w:spacing w:after="0"/>
              <w:rPr>
                <w:sz w:val="12"/>
                <w:szCs w:val="12"/>
                <w:color w:val="auto"/>
              </w:rPr>
            </w:pPr>
          </w:p>
        </w:tc>
        <w:tc>
          <w:tcPr>
            <w:tcW w:w="19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10007</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06/10/2026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31,298</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142,339</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40" w:firstLine="7"/>
        <w:spacing w:after="0" w:line="248"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underlying restricted stock units ("RSUs") subject to time-based vesting, granted to the Reporting Person pursuant to the Issuer's Amended and Restated Non-Employee Director Compensation Plan as an Annual Award (as defined in such plan) with the RSUs subject to the Issuer's Omnibus Equity Incentive Plan. These RSUs will fully vest on the earlier of (i) June 9, 2027, and (ii) the first Annual Meeting of the Issuer's stockholders following the effective date of such grant, provided that the Reporting Person remains in continuous service through the vesting date</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List - Exhibit 24 - Power of Attorney</w:t>
      </w:r>
    </w:p>
    <w:p>
      <w:pPr>
        <w:spacing w:after="0" w:line="7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Anna Bochkareva,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499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Sharda</w:t>
      </w:r>
      <w:r>
        <w:rPr>
          <w:sz w:val="20"/>
          <w:szCs w:val="20"/>
          <w:color w:val="auto"/>
        </w:rPr>
        <w:tab/>
      </w:r>
      <w:r>
        <w:rPr>
          <w:rFonts w:ascii="Times New Roman" w:cs="Times New Roman" w:eastAsia="Times New Roman" w:hAnsi="Times New Roman"/>
          <w:sz w:val="17"/>
          <w:szCs w:val="17"/>
          <w:color w:val="0000FF"/>
        </w:rPr>
        <w:t>06/11/2026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9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Caro Del Castillo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7696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6962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ind w:left="10020"/>
        <w:spacing w:after="0"/>
        <w:rPr>
          <w:sz w:val="20"/>
          <w:szCs w:val="20"/>
          <w:color w:val="auto"/>
        </w:rPr>
      </w:pPr>
      <w:r>
        <w:rPr>
          <w:rFonts w:ascii="Times New Roman" w:cs="Times New Roman" w:eastAsia="Times New Roman" w:hAnsi="Times New Roman"/>
          <w:sz w:val="18"/>
          <w:szCs w:val="18"/>
          <w:b w:val="1"/>
          <w:bCs w:val="1"/>
          <w:color w:val="auto"/>
        </w:rPr>
        <w:t>Exhibit 24.1</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1" w:lineRule="exact"/>
        <w:rPr>
          <w:sz w:val="20"/>
          <w:szCs w:val="20"/>
          <w:color w:val="auto"/>
        </w:rPr>
      </w:pPr>
    </w:p>
    <w:p>
      <w:pPr>
        <w:ind w:right="20"/>
        <w:spacing w:after="0" w:line="276" w:lineRule="auto"/>
        <w:rPr>
          <w:sz w:val="20"/>
          <w:szCs w:val="20"/>
          <w:color w:val="auto"/>
        </w:rPr>
      </w:pPr>
      <w:r>
        <w:rPr>
          <w:rFonts w:ascii="Times New Roman" w:cs="Times New Roman" w:eastAsia="Times New Roman" w:hAnsi="Times New Roman"/>
          <w:sz w:val="18"/>
          <w:szCs w:val="18"/>
          <w:color w:val="auto"/>
        </w:rPr>
        <w:t>Know all by these presents, that the undersigned hereby constitutes and appoints each of Itai Perry, Shlomi Zerahia, Ben Ozeri, Anna Bochkareva, Eric Morais and Gal Sagi as the undersigned’s true and lawful attorneys-in-fact to:</w:t>
      </w:r>
    </w:p>
    <w:p>
      <w:pPr>
        <w:spacing w:after="0" w:line="164" w:lineRule="exact"/>
        <w:rPr>
          <w:sz w:val="20"/>
          <w:szCs w:val="20"/>
          <w:color w:val="auto"/>
        </w:rPr>
      </w:pPr>
    </w:p>
    <w:p>
      <w:pPr>
        <w:jc w:val="both"/>
        <w:ind w:right="20" w:firstLine="7"/>
        <w:spacing w:after="0" w:line="261" w:lineRule="auto"/>
        <w:tabs>
          <w:tab w:leader="none" w:pos="26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in the undersigned’s capacity as a reporting person pursuant to Section 16 of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and the rules thereunder of Payoneer Global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Forms 3, 4 and 5, including any amendments thereto, in accordance with Section 16(a) of the Exchange Act;</w:t>
      </w:r>
    </w:p>
    <w:p>
      <w:pPr>
        <w:spacing w:after="0" w:line="177" w:lineRule="exact"/>
        <w:rPr>
          <w:rFonts w:ascii="Times New Roman" w:cs="Times New Roman" w:eastAsia="Times New Roman" w:hAnsi="Times New Roman"/>
          <w:sz w:val="18"/>
          <w:szCs w:val="18"/>
          <w:color w:val="auto"/>
        </w:rPr>
      </w:pPr>
    </w:p>
    <w:p>
      <w:pPr>
        <w:jc w:val="both"/>
        <w:ind w:right="20" w:firstLine="7"/>
        <w:spacing w:after="0" w:line="261" w:lineRule="auto"/>
        <w:tabs>
          <w:tab w:leader="none" w:pos="25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the applicable stock exchange or similar authority; and</w:t>
      </w:r>
    </w:p>
    <w:p>
      <w:pPr>
        <w:spacing w:after="0" w:line="177" w:lineRule="exact"/>
        <w:rPr>
          <w:rFonts w:ascii="Times New Roman" w:cs="Times New Roman" w:eastAsia="Times New Roman" w:hAnsi="Times New Roman"/>
          <w:sz w:val="18"/>
          <w:szCs w:val="18"/>
          <w:color w:val="auto"/>
        </w:rPr>
      </w:pPr>
    </w:p>
    <w:p>
      <w:pPr>
        <w:jc w:val="both"/>
        <w:ind w:firstLine="7"/>
        <w:spacing w:after="0" w:line="256" w:lineRule="auto"/>
        <w:tabs>
          <w:tab w:leader="none" w:pos="25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other action of any type whatsoever in connection with the foregoing which, in the opinion of any of such attorneys-in-fact, may be of benefit to, in the best interest of, or legally required by, the undersigned, it being understood that the documents executed by any of such attorneys-in-fact on behalf of the undersigned pursuant to this Power of Attorney shall be in such form and shall contain such terms and conditions as any of such attorneys-in-fact may approve in the discretion of any of such attorneys-in-fact.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The undersigned hereby grants to each such attorney-in-fact full power and authority to act separately and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 The undersigned further acknowledges and releases the foregoing attorneys-in-fact from any and all liability with respect to any documents prepared, executed or filed by any of the attorneys-in-fact on behalf of the undersigned pursuant to this Power of Attorney, including the content or timeliness of such filing, and irrevocably waives any claim he or she may have against such attorneys-in-fact and the Company with respect to the foregoing. The undersigned undertakes to fully cooperate with such attorneys-in-fact and to timely provide full and accurate information, as applicable and as necessary, with respect to all such documents executed by any of the attorneys-in-fact on behalf of the undersigned pursuant to this Power of Attorney.</w:t>
      </w:r>
    </w:p>
    <w:p>
      <w:pPr>
        <w:spacing w:after="0" w:line="175"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This Power of Attorney supersedes any power of attorney previously executed by the undersigned regarding the purposes outlined herein, and the authority of the attorneys-in-fact named in any such prior power of attorney is hereby revoked.</w:t>
      </w:r>
    </w:p>
    <w:p>
      <w:pPr>
        <w:spacing w:after="0" w:line="16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(i) revoked by the undersigned or any of the foregoing attorneys-in-fact (with respect to such attorney-in-fact) in a signed writing delivered to the other party (ii) expired with respect to any individual attorney-in-fact if such attorney-in-fact ceased to be an employee of the Company, or (iii) superseded by a new power of attorney regarding the purposes outlined herein dated as of a later date.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as of this Jan 20, 2026.</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/s/ Sharda Caro Del Castillo</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Sharda Caro Del Castillo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375920</wp:posOffset>
            </wp:positionV>
            <wp:extent cx="69640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964045" cy="8255"/>
                    </a:xfrm>
                    <a:prstGeom prst="rect">
                      <a:avLst/>
                    </a:prstGeom>
                    <a:noFill/>
                  </pic:spPr>
                </pic:pic>
              </a:graphicData>
            </a:graphic>
          </wp:anchor>
        </w:drawing>
      </w:r>
    </w:p>
    <w:sectPr>
      <w:pgSz w:w="11900" w:h="16838" w:orient="portrait"/>
      <w:cols w:equalWidth="0" w:num="1">
        <w:col w:w="10980"/>
      </w:cols>
      <w:pgMar w:left="460" w:top="332"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832802" TargetMode="External"/><Relationship Id="rId14" Type="http://schemas.openxmlformats.org/officeDocument/2006/relationships/hyperlink" Target="http://www.sec.gov/cgi-bin/browse-edgar?action=getcompany&amp;CIK=00018458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2026-06-11T20:10:59Z</dcterms:created>
  <dcterms:modified xsi:type="dcterms:W3CDTF">2026-06-11T20:10:59Z</dcterms:modified>
</cp:coreProperties>
</file>