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Goldman Tsafi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195 BROADWAY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Payoneer Global Inc.</w:t>
              </w:r>
            </w:hyperlink>
            <w:r>
              <w:rPr/>
              <w:t xml:space="preserve"> [ </w:t>
            </w:r>
            <w:r>
              <w:rPr>
                <w:rFonts w:ascii="Times;serif" w:hAnsi="Times;serif"/>
                <w:color w:val="0000FF"/>
                <w:sz w:val="24"/>
                <w:shd w:fill="FFFFFF" w:val="clear"/>
              </w:rPr>
              <w:t>PAYO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&amp; Governance Ofcr.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973"/>
        <w:gridCol w:w="454"/>
        <w:gridCol w:w="670"/>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10,369</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7.14</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995,277</w:t>
            </w:r>
            <w:r>
              <w:rPr>
                <w:rFonts w:ascii="Times;serif" w:hAnsi="Times;serif"/>
                <w:color w:val="008000"/>
                <w:position w:val="7"/>
                <w:sz w:val="16"/>
                <w:sz w:val="20"/>
                <w:shd w:fill="FFFFFF" w:val="clear"/>
              </w:rPr>
              <w:t>(2)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withheld solely to cover the Reporting Person's tax obligation arising from the settlement of vested restricted stock units and does not represent an open market sale.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forfeiture of 15,000 RSUs, representing the remainder of the RSUs granted to the Reporting Person on September 9, 2021, that did not meet their applicable share price threshold conditions for vesting by the applicable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Anna Bochkareva, attorney-in-fact for Tsafi Goldman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9514" TargetMode="External"/><Relationship Id="rId5" Type="http://schemas.openxmlformats.org/officeDocument/2006/relationships/hyperlink" Target="http://www.sec.gov/cgi-bin/browse-edgar?action=getcompany&amp;CIK=00018458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3450</Characters>
  <CharactersWithSpaces>4015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