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Ordonez Beatrice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195 BROADWAY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Payoneer Global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PAYO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969"/>
        <w:gridCol w:w="449"/>
        <w:gridCol w:w="665"/>
        <w:gridCol w:w="127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24,194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7.14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2,802,587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solely to cover the Reporting Person's tax obligation arising from the settlement of vested restricted stock units and does not represent an open market sale.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Anna Bochkareva, attorney-in-fact for Beatrice Ordonez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2088" TargetMode="External"/><Relationship Id="rId5" Type="http://schemas.openxmlformats.org/officeDocument/2006/relationships/hyperlink" Target="http://www.sec.gov/cgi-bin/browse-edgar?action=getcompany&amp;CIK=00018458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3258</Characters>
  <CharactersWithSpaces>3785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